
<file path=[Content_Types].xml><?xml version="1.0" encoding="utf-8"?>
<Types xmlns="http://schemas.openxmlformats.org/package/2006/content-types">
  <Default ContentType="image/png" Extension="png"/>
  <Default ContentType="image/jpeg" Extension="jpeg"/>
  <Default ContentType="image/jpeg" Extension="jpg"/>
  <Default ContentType="image/bmp" Extension="bmp"/>
  <Default ContentType="image/gif" Extension="gif"/>
  <Default ContentType="image/svg+xml" Extension="svg"/>
  <Default ContentType="application/vnd.openxmlformats-package.relationships+xml" Extension="rels"/>
  <Default ContentType="application/xml" Extension="xml"/>
  <Default ContentType="application/vnd.openxmlformats-officedocument.obfuscatedFont" Extension="odttf"/>
  <Override ContentType="application/vnd.openxmlformats-officedocument.wordprocessingml.document.main+xml" PartName="/word/document.xml"/>
  <Override ContentType="application/vnd.openxmlformats-officedocument.wordprocessingml.styles+xml" PartName="/word/styles.xml"/>
  <Override ContentType="application/vnd.openxmlformats-package.core-properties+xml" PartName="/docProps/core.xml"/>
  <Override ContentType="application/vnd.openxmlformats-officedocument.custom-properties+xml" PartName="/docProps/custom.xml"/>
  <Override ContentType="application/vnd.openxmlformats-officedocument.extended-properties+xml" PartName="/docProps/app.xml"/>
  <Override ContentType="application/vnd.openxmlformats-officedocument.wordprocessingml.numbering+xml" PartName="/word/numbering.xml"/>
  <Override ContentType="application/vnd.openxmlformats-officedocument.wordprocessingml.footnotes+xml" PartName="/word/footnotes.xml"/>
  <Override ContentType="application/vnd.openxmlformats-officedocument.wordprocessingml.endnotes+xml" PartName="/word/endnotes.xml"/>
  <Override ContentType="application/vnd.openxmlformats-officedocument.wordprocessingml.settings+xml" PartName="/word/settings.xml"/>
  <Override ContentType="application/vnd.openxmlformats-officedocument.wordprocessingml.comments+xml" PartName="/word/comments.xml"/>
  <Override ContentType="application/vnd.openxmlformats-officedocument.wordprocessingml.fontTable+xml" PartName="/word/fontTable.xml"/>
  <Override ContentType="application/vnd.openxmlformats-officedocument.wordprocessingml.footer+xml" PartName="/word/footer1.xml"/>
</Types>
</file>

<file path=_rels/.rels><?xml version="1.0" encoding="UTF-8"?><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p14">
  <w:body>
    <w:p>
      <w:pPr>
        <w:spacing w:after="0" w:before="1400"/>
        <w:jc w:val="center"/>
      </w:pPr>
      <w:r>
        <w:rPr>
          <w:b/>
          <w:bCs/>
          <w:color w:val="0B2A4A"/>
          <w:sz w:val="72"/>
          <w:szCs w:val="72"/>
        </w:rPr>
        <w:t xml:space="preserve">IBRASAL INVEST</w:t>
      </w:r>
    </w:p>
    <w:p>
      <w:pPr>
        <w:spacing w:after="120"/>
        <w:jc w:val="center"/>
      </w:pPr>
      <w:r>
        <w:rPr>
          <w:b/>
          <w:bCs/>
          <w:color w:val="2E7D32"/>
          <w:sz w:val="30"/>
          <w:szCs w:val="30"/>
        </w:rPr>
        <w:t xml:space="preserve">Agricultural Commodity Export &amp; Trade Platform</w:t>
      </w:r>
    </w:p>
    <w:p>
      <w:pPr>
        <w:spacing w:after="120"/>
        <w:jc w:val="center"/>
      </w:pPr>
      <w:r>
        <w:rPr>
          <w:i/>
          <w:iCs/>
          <w:color w:val="5B6470"/>
          <w:sz w:val="22"/>
          <w:szCs w:val="22"/>
        </w:rPr>
        <w:t xml:space="preserve">A complete Laravel website + CMS for Nigerian agro-export businesses</w:t>
      </w:r>
      <w:r>
        <w:rPr>
          <w:rStyle w:val="FootnoteReference"/>
        </w:rPr>
        <w:footnoteReference w:id="1"/>
      </w:r>
    </w:p>
    <w:p>
      <w:pPr>
        <w:spacing w:after="600"/>
        <w:jc w:val="center"/>
      </w:pPr>
      <w:r>
        <w:rPr>
          <w:b/>
          <w:bCs/>
          <w:color w:val="2E7D32"/>
          <w:sz w:val="20"/>
          <w:szCs w:val="20"/>
        </w:rPr>
        <w:t xml:space="preserve">Built by SENUX Media</w:t>
      </w:r>
    </w:p>
    <w:p>
      <w:pPr>
        <w:spacing w:after="60" w:before="120"/>
        <w:jc w:val="center"/>
      </w:pPr>
      <w:r>
        <w:drawing>
          <wp:inline distT="0" distB="0" distL="0" distR="0">
            <wp:extent cx="4381500" cy="6696075"/>
            <wp:effectExtent t="0" r="0" b="0" l="0"/>
            <wp:docPr id="1" name="home" descr="home screenshot" title="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8" cstate="none"/>
                    <a:srcRect/>
                    <a:stretch>
                      <a:fillRect/>
                    </a:stretch>
                  </pic:blipFill>
                  <pic:spPr bwMode="auto">
                    <a:xfrm>
                      <a:off x="0" y="0"/>
                      <a:ext cx="4381500" cy="6696075"/>
                    </a:xfrm>
                    <a:prstGeom prst="rect">
                      <a:avLst/>
                    </a:prstGeom>
                  </pic:spPr>
                </pic:pic>
              </a:graphicData>
            </a:graphic>
          </wp:inline>
        </w:drawing>
      </w:r>
    </w:p>
    <w:p>
      <w:pPr>
        <w:spacing w:after="200"/>
        <w:jc w:val="center"/>
      </w:pPr>
      <w:r>
        <w:rPr>
          <w:i/>
          <w:iCs/>
          <w:color w:val="5B6470"/>
          <w:sz w:val="18"/>
          <w:szCs w:val="18"/>
        </w:rPr>
        <w:t xml:space="preserve">Homepage — fully editable hero carousel, commodities, value chain &amp; more</w:t>
      </w:r>
    </w:p>
    <w:p>
      <w:pPr>
        <w:spacing w:before="500"/>
        <w:jc w:val="center"/>
      </w:pPr>
      <w:r>
        <w:rPr>
          <w:b/>
          <w:bCs/>
          <w:color w:val="0B2A4A"/>
          <w:sz w:val="26"/>
          <w:szCs w:val="26"/>
        </w:rPr>
        <w:t xml:space="preserve">Product Documentation &amp; Buyer's Guide</w:t>
      </w:r>
    </w:p>
    <w:p>
      <w:pPr>
        <w:spacing w:after="0"/>
        <w:jc w:val="center"/>
      </w:pPr>
      <w:r>
        <w:rPr>
          <w:color w:val="5B6470"/>
          <w:sz w:val="20"/>
          <w:szCs w:val="20"/>
        </w:rPr>
        <w:t xml:space="preserve">Version 1.0  ·  Laravel 13  ·  PHP 8.3</w:t>
      </w:r>
    </w:p>
    <w:p>
      <w:r>
        <w:br w:type="page"/>
      </w:r>
    </w:p>
    <w:p>
      <w:pPr>
        <w:pStyle w:val="Heading1"/>
      </w:pPr>
      <w:r>
        <w:t xml:space="preserve">Table of Contents</w:t>
      </w:r>
    </w:p>
    <w:sdt>
      <w:sdtPr>
        <w:alias w:val="Table of Contents"/>
      </w:sdtPr>
      <w:sdtContent>
        <w:p>
          <w:r>
            <w:fldChar w:fldCharType="begin" w:dirty="true"/>
            <w:instrText xml:space="preserve">TOC \h \o "1-2"</w:instrText>
            <w:fldChar w:fldCharType="separate"/>
          </w:r>
        </w:p>
        <w:p>
          <w:r>
            <w:fldChar w:fldCharType="end"/>
          </w:r>
        </w:p>
      </w:sdtContent>
    </w:sdt>
    <w:p>
      <w:r>
        <w:br w:type="page"/>
      </w:r>
    </w:p>
    <w:p>
      <w:pPr>
        <w:pStyle w:val="Heading1"/>
      </w:pPr>
      <w:r>
        <w:t xml:space="preserve">1. What Is Ibrasal Invest?</w:t>
      </w:r>
    </w:p>
    <w:p>
      <w:pPr>
        <w:spacing w:after="120"/>
      </w:pPr>
      <w:r>
        <w:t xml:space="preserve">Ibrasal Invest is a complete, production-ready web platform built for agricultural commodity exporters — designed first and foremost for the Nigerian agro-export market. It combines a premium corporate marketing website, an editable content management system (CMS), a product catalogue with a built-in quote/order request flow, a customer portal, a staff portal, and a full admin/ERP back office in a single Laravel application.</w:t>
      </w:r>
    </w:p>
    <w:p>
      <w:pPr>
        <w:spacing w:after="120"/>
      </w:pPr>
      <w:r>
        <w:t xml:space="preserve">Rather than a static template, every public page is built from editable “sections”, so the site owner can change text, images, statistics, cards and calls-to-action from the admin panel — no developer required. It ships with bilingual support (English &amp; French), SEO controls, a live chat widget, a blog, and a newsletter.</w:t>
      </w:r>
    </w:p>
    <w:p>
      <w:pPr>
        <w:pStyle w:val="Heading2"/>
      </w:pPr>
      <w:r>
        <w:t xml:space="preserve">Who It Is For</w:t>
      </w:r>
    </w:p>
    <w:p>
      <w:pPr>
        <w:pStyle w:val="ListParagraph"/>
        <w:numPr>
          <w:ilvl w:val="0"/>
          <w:numId w:val="2"/>
        </w:numPr>
        <w:spacing w:after="40"/>
      </w:pPr>
      <w:r>
        <w:rPr>
          <w:b/>
          <w:bCs/>
        </w:rPr>
        <w:t xml:space="preserve">Agricultural exporters &amp; trading houses</w:t>
      </w:r>
      <w:r>
        <w:t xml:space="preserve"> sourcing commodities (ginger, cashew, sesame, soybean, hibiscus, shea, etc.) for international buyers.</w:t>
      </w:r>
    </w:p>
    <w:p>
      <w:pPr>
        <w:pStyle w:val="ListParagraph"/>
        <w:numPr>
          <w:ilvl w:val="0"/>
          <w:numId w:val="2"/>
        </w:numPr>
        <w:spacing w:after="40"/>
      </w:pPr>
      <w:r>
        <w:rPr>
          <w:b/>
          <w:bCs/>
        </w:rPr>
        <w:t xml:space="preserve">Cooperatives and aggregators</w:t>
      </w:r>
      <w:r>
        <w:t xml:space="preserve"> that want a professional online presence plus an inquiry/order pipeline.</w:t>
      </w:r>
    </w:p>
    <w:p>
      <w:pPr>
        <w:pStyle w:val="ListParagraph"/>
        <w:numPr>
          <w:ilvl w:val="0"/>
          <w:numId w:val="2"/>
        </w:numPr>
        <w:spacing w:after="40"/>
      </w:pPr>
      <w:r>
        <w:rPr>
          <w:b/>
          <w:bCs/>
        </w:rPr>
        <w:t xml:space="preserve">Agribusiness consultants and farm enterprises</w:t>
      </w:r>
      <w:r>
        <w:t xml:space="preserve"> needing a marketing site with a back-office to manage farms, crops, livestock, inventory, tasks and finance.</w:t>
      </w:r>
    </w:p>
    <w:p>
      <w:pPr>
        <w:pStyle w:val="ListParagraph"/>
        <w:numPr>
          <w:ilvl w:val="0"/>
          <w:numId w:val="2"/>
        </w:numPr>
        <w:spacing w:after="40"/>
      </w:pPr>
      <w:r>
        <w:rPr>
          <w:b/>
          <w:bCs/>
        </w:rPr>
        <w:t xml:space="preserve">Developers / agencies</w:t>
      </w:r>
      <w:r>
        <w:t xml:space="preserve"> who want a well-structured Laravel codebase they can rebrand and resell to agribusiness clients.</w:t>
      </w:r>
    </w:p>
    <w:p>
      <w:pPr>
        <w:pStyle w:val="Heading1"/>
      </w:pPr>
      <w:r>
        <w:t xml:space="preserve">2. How It Works</w:t>
      </w:r>
    </w:p>
    <w:p>
      <w:pPr>
        <w:spacing w:after="120"/>
      </w:pPr>
      <w:r>
        <w:t xml:space="preserve">The platform is organised into four connected areas, all sharing one database and one design system:</w:t>
      </w:r>
    </w:p>
    <w:p>
      <w:pPr>
        <w:pStyle w:val="ListParagraph"/>
        <w:numPr>
          <w:ilvl w:val="0"/>
          <w:numId w:val="2"/>
        </w:numPr>
        <w:spacing w:after="40"/>
      </w:pPr>
      <w:r>
        <w:rPr>
          <w:b/>
          <w:bCs/>
        </w:rPr>
        <w:t xml:space="preserve">Public website</w:t>
      </w:r>
      <w:r>
        <w:t xml:space="preserve"> — The marketing front end: home, marketplace/products, services, about (with Our History, Our Team), blog, contact, privacy &amp; terms. Visitors browse commodities and submit quote/order requests.</w:t>
      </w:r>
    </w:p>
    <w:p>
      <w:pPr>
        <w:pStyle w:val="ListParagraph"/>
        <w:numPr>
          <w:ilvl w:val="0"/>
          <w:numId w:val="2"/>
        </w:numPr>
        <w:spacing w:after="40"/>
      </w:pPr>
      <w:r>
        <w:rPr>
          <w:b/>
          <w:bCs/>
        </w:rPr>
        <w:t xml:space="preserve">Customer Portal</w:t>
      </w:r>
      <w:r>
        <w:t xml:space="preserve"> — Buyers log in to track their orders, view order detail and download receipts.</w:t>
      </w:r>
    </w:p>
    <w:p>
      <w:pPr>
        <w:pStyle w:val="ListParagraph"/>
        <w:numPr>
          <w:ilvl w:val="0"/>
          <w:numId w:val="2"/>
        </w:numPr>
        <w:spacing w:after="40"/>
      </w:pPr>
      <w:r>
        <w:rPr>
          <w:b/>
          <w:bCs/>
        </w:rPr>
        <w:t xml:space="preserve">Staff Portal</w:t>
      </w:r>
      <w:r>
        <w:t xml:space="preserve"> — Field/operations staff manage day-to-day farm operations — tasks, crops, livestock and inventory.</w:t>
      </w:r>
    </w:p>
    <w:p>
      <w:pPr>
        <w:pStyle w:val="ListParagraph"/>
        <w:numPr>
          <w:ilvl w:val="0"/>
          <w:numId w:val="2"/>
        </w:numPr>
        <w:spacing w:after="40"/>
      </w:pPr>
      <w:r>
        <w:rPr>
          <w:b/>
          <w:bCs/>
        </w:rPr>
        <w:t xml:space="preserve">Admin / ERP</w:t>
      </w:r>
      <w:r>
        <w:t xml:space="preserve"> — The owner manages everything: page content, products, orders, customers, inquiries, blog, team, testimonials, media, settings, SEO, chat, notifications, farms, finance and more.</w:t>
      </w:r>
    </w:p>
    <w:p>
      <w:pPr>
        <w:pStyle w:val="Heading2"/>
      </w:pPr>
      <w:r>
        <w:t xml:space="preserve">The Order / Quote Request Flow</w:t>
      </w:r>
    </w:p>
    <w:p>
      <w:pPr>
        <w:pStyle w:val="ListParagraph"/>
        <w:numPr>
          <w:ilvl w:val="0"/>
          <w:numId w:val="3"/>
        </w:numPr>
        <w:spacing w:after="40"/>
      </w:pPr>
      <w:r>
        <w:t xml:space="preserve">A buyer browses the </w:t>
      </w:r>
      <w:r>
        <w:rPr>
          <w:b/>
          <w:bCs/>
        </w:rPr>
        <w:t xml:space="preserve">Marketplace</w:t>
      </w:r>
      <w:r>
        <w:t xml:space="preserve"> and opens a product (e.g. Dried Ginger).</w:t>
      </w:r>
    </w:p>
    <w:p>
      <w:pPr>
        <w:pStyle w:val="ListParagraph"/>
        <w:numPr>
          <w:ilvl w:val="0"/>
          <w:numId w:val="3"/>
        </w:numPr>
        <w:spacing w:after="40"/>
      </w:pPr>
      <w:r>
        <w:t xml:space="preserve">On the product page they enter a </w:t>
      </w:r>
      <w:r>
        <w:rPr>
          <w:b/>
          <w:bCs/>
        </w:rPr>
        <w:t xml:space="preserve">quantity</w:t>
      </w:r>
      <w:r>
        <w:t xml:space="preserve"> and pick a </w:t>
      </w:r>
      <w:r>
        <w:rPr>
          <w:b/>
          <w:bCs/>
        </w:rPr>
        <w:t xml:space="preserve">unit</w:t>
      </w:r>
      <w:r>
        <w:t xml:space="preserve"> (kg, tonne, bags, container — defined per-product by the admin), plus destination and notes.</w:t>
      </w:r>
    </w:p>
    <w:p>
      <w:pPr>
        <w:pStyle w:val="ListParagraph"/>
        <w:numPr>
          <w:ilvl w:val="0"/>
          <w:numId w:val="3"/>
        </w:numPr>
        <w:spacing w:after="40"/>
      </w:pPr>
      <w:r>
        <w:t xml:space="preserve">They submit the form, which creates an </w:t>
      </w:r>
      <w:r>
        <w:rPr>
          <w:b/>
          <w:bCs/>
        </w:rPr>
        <w:t xml:space="preserve">Inquiry</w:t>
      </w:r>
      <w:r>
        <w:t xml:space="preserve"> record and fires an in-app </w:t>
      </w:r>
      <w:r>
        <w:rPr>
          <w:b/>
          <w:bCs/>
        </w:rPr>
        <w:t xml:space="preserve">admin notification</w:t>
      </w:r>
      <w:r>
        <w:t xml:space="preserve"> (and email if SMTP is configured).</w:t>
      </w:r>
    </w:p>
    <w:p>
      <w:pPr>
        <w:pStyle w:val="ListParagraph"/>
        <w:numPr>
          <w:ilvl w:val="0"/>
          <w:numId w:val="3"/>
        </w:numPr>
        <w:spacing w:after="40"/>
      </w:pPr>
      <w:r>
        <w:t xml:space="preserve">The admin reviews the inquiry in </w:t>
      </w:r>
      <w:r>
        <w:rPr>
          <w:b/>
          <w:bCs/>
        </w:rPr>
        <w:t xml:space="preserve">Admin → Inquiries</w:t>
      </w:r>
      <w:r>
        <w:t xml:space="preserve">, responds, and can </w:t>
      </w:r>
      <w:r>
        <w:rPr>
          <w:b/>
          <w:bCs/>
        </w:rPr>
        <w:t xml:space="preserve">convert it into an Order</w:t>
      </w:r>
      <w:r>
        <w:t xml:space="preserve"> with tracking.</w:t>
      </w:r>
    </w:p>
    <w:p>
      <w:pPr>
        <w:pStyle w:val="ListParagraph"/>
        <w:numPr>
          <w:ilvl w:val="0"/>
          <w:numId w:val="3"/>
        </w:numPr>
        <w:spacing w:after="40"/>
      </w:pPr>
      <w:r>
        <w:t xml:space="preserve">The customer follows the order in their </w:t>
      </w:r>
      <w:r>
        <w:rPr>
          <w:b/>
          <w:bCs/>
        </w:rPr>
        <w:t xml:space="preserve">Portal</w:t>
      </w:r>
      <w:r>
        <w:t xml:space="preserve"> and downloads a receipt.</w:t>
      </w:r>
    </w:p>
    <w:p>
      <w:pPr>
        <w:spacing w:after="60" w:before="120"/>
        <w:jc w:val="center"/>
      </w:pPr>
      <w:r>
        <w:drawing>
          <wp:inline distT="0" distB="0" distL="0" distR="0">
            <wp:extent cx="4095750" cy="7962900"/>
            <wp:effectExtent t="0" r="0" b="0" l="0"/>
            <wp:docPr id="1" name="product" descr="product screenshot" title="prod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9" cstate="none"/>
                    <a:srcRect/>
                    <a:stretch>
                      <a:fillRect/>
                    </a:stretch>
                  </pic:blipFill>
                  <pic:spPr bwMode="auto">
                    <a:xfrm>
                      <a:off x="0" y="0"/>
                      <a:ext cx="4095750" cy="7962900"/>
                    </a:xfrm>
                    <a:prstGeom prst="rect">
                      <a:avLst/>
                    </a:prstGeom>
                  </pic:spPr>
                </pic:pic>
              </a:graphicData>
            </a:graphic>
          </wp:inline>
        </w:drawing>
      </w:r>
    </w:p>
    <w:p>
      <w:pPr>
        <w:spacing w:after="200"/>
        <w:jc w:val="center"/>
      </w:pPr>
      <w:r>
        <w:rPr>
          <w:i/>
          <w:iCs/>
          <w:color w:val="5B6470"/>
          <w:sz w:val="18"/>
          <w:szCs w:val="18"/>
        </w:rPr>
        <w:t xml:space="preserve">Product page — buyer chooses quantity &amp; unit, then requests a quote</w:t>
      </w:r>
    </w:p>
    <w:p>
      <w:pPr>
        <w:pStyle w:val="Heading2"/>
      </w:pPr>
      <w:r>
        <w:t xml:space="preserve">The “Everything Editable” Page Builder</w:t>
      </w:r>
    </w:p>
    <w:p>
      <w:pPr>
        <w:spacing w:after="120"/>
      </w:pPr>
      <w:r>
        <w:t xml:space="preserve">Each public page is composed of reorderable sections managed in Admin → Page Sections. Section types include hero banners, stat cards, bento grids, image galleries, timelines, value-chain stages, team cards, legal/accordion blocks, info cards and more. The site owner edits headings, body text, images (upload or URL), icons, colours, buttons and card items — and can show/hide or reorder any block.</w:t>
      </w:r>
    </w:p>
    <w:p>
      <w:pPr>
        <w:spacing w:after="120"/>
      </w:pPr>
      <w:r>
        <w:t xml:space="preserve">Hero banners and sliders are managed in a dedicated Hero area that supports image upload and multiple rotating slides.</w:t>
      </w:r>
    </w:p>
    <w:p>
      <w:r>
        <w:br w:type="page"/>
      </w:r>
    </w:p>
    <w:p>
      <w:pPr>
        <w:pStyle w:val="Heading1"/>
      </w:pPr>
      <w:r>
        <w:t xml:space="preserve">3. Key Features</w:t>
      </w:r>
    </w:p>
    <w:tbl>
      <w:tblPr>
        <w:tblW w:type="dxa" w:w="9360"/>
        <w:tblBorders>
          <w:top w:val="single" w:color="auto" w:sz="4"/>
          <w:left w:val="single" w:color="auto" w:sz="4"/>
          <w:bottom w:val="single" w:color="auto" w:sz="4"/>
          <w:right w:val="single" w:color="auto" w:sz="4"/>
          <w:insideH w:val="single" w:color="auto" w:sz="4"/>
          <w:insideV w:val="single" w:color="auto" w:sz="4"/>
        </w:tblBorders>
      </w:tblPr>
      <w:tblGrid>
        <w:gridCol w:w="2600"/>
        <w:gridCol w:w="6760"/>
      </w:tblGrid>
      <w:tr>
        <w:tc>
          <w:tcPr>
            <w:tcW w:type="dxa" w:w="2600"/>
            <w:tcBorders>
              <w:top w:val="single" w:color="CCD6E0" w:sz="2"/>
              <w:left w:val="single" w:color="CCD6E0" w:sz="2"/>
              <w:bottom w:val="single" w:color="CCD6E0" w:sz="2"/>
              <w:right w:val="single" w:color="CCD6E0" w:sz="2"/>
            </w:tcBorders>
            <w:shd w:fill="0B2A4A" w:val="clear"/>
            <w:tcMar>
              <w:top w:type="dxa" w:w="80"/>
              <w:left w:type="dxa" w:w="140"/>
              <w:bottom w:type="dxa" w:w="80"/>
              <w:right w:type="dxa" w:w="140"/>
            </w:tcMar>
          </w:tcPr>
          <w:p>
            <w:r>
              <w:rPr>
                <w:b/>
                <w:bCs/>
                <w:color w:val="FFFFFF"/>
                <w:sz w:val="20"/>
                <w:szCs w:val="20"/>
              </w:rPr>
              <w:t xml:space="preserve">Area</w:t>
            </w:r>
          </w:p>
        </w:tc>
        <w:tc>
          <w:tcPr>
            <w:tcW w:type="dxa" w:w="6760"/>
            <w:tcBorders>
              <w:top w:val="single" w:color="CCD6E0" w:sz="2"/>
              <w:left w:val="single" w:color="CCD6E0" w:sz="2"/>
              <w:bottom w:val="single" w:color="CCD6E0" w:sz="2"/>
              <w:right w:val="single" w:color="CCD6E0" w:sz="2"/>
            </w:tcBorders>
            <w:shd w:fill="0B2A4A" w:val="clear"/>
            <w:tcMar>
              <w:top w:type="dxa" w:w="80"/>
              <w:left w:type="dxa" w:w="140"/>
              <w:bottom w:type="dxa" w:w="80"/>
              <w:right w:type="dxa" w:w="140"/>
            </w:tcMar>
          </w:tcPr>
          <w:p>
            <w:r>
              <w:rPr>
                <w:b/>
                <w:bCs/>
                <w:color w:val="FFFFFF"/>
                <w:sz w:val="20"/>
                <w:szCs w:val="20"/>
              </w:rPr>
              <w:t xml:space="preserve">What you get</w:t>
            </w:r>
          </w:p>
        </w:tc>
      </w:tr>
      <w:tr>
        <w:tc>
          <w:tcPr>
            <w:tcW w:type="dxa" w:w="2600"/>
            <w:tcBorders>
              <w:top w:val="single" w:color="CCD6E0" w:sz="2"/>
              <w:left w:val="single" w:color="CCD6E0" w:sz="2"/>
              <w:bottom w:val="single" w:color="CCD6E0" w:sz="2"/>
              <w:right w:val="single" w:color="CCD6E0" w:sz="2"/>
            </w:tcBorders>
            <w:shd w:fill="EEF3F8" w:val="clear"/>
            <w:tcMar>
              <w:top w:type="dxa" w:w="80"/>
              <w:left w:type="dxa" w:w="140"/>
              <w:bottom w:type="dxa" w:w="80"/>
              <w:right w:type="dxa" w:w="140"/>
            </w:tcMar>
          </w:tcPr>
          <w:p>
            <w:r>
              <w:rPr>
                <w:b/>
                <w:bCs/>
                <w:color w:val="0B2A4A"/>
                <w:sz w:val="20"/>
                <w:szCs w:val="20"/>
              </w:rPr>
              <w:t xml:space="preserve">Editable CMS</w:t>
            </w:r>
          </w:p>
        </w:tc>
        <w:tc>
          <w:tcPr>
            <w:tcW w:type="dxa" w:w="6760"/>
            <w:tcBorders>
              <w:top w:val="single" w:color="CCD6E0" w:sz="2"/>
              <w:left w:val="single" w:color="CCD6E0" w:sz="2"/>
              <w:bottom w:val="single" w:color="CCD6E0" w:sz="2"/>
              <w:right w:val="single" w:color="CCD6E0" w:sz="2"/>
            </w:tcBorders>
            <w:shd w:fill="FFFFFF" w:val="clear"/>
            <w:tcMar>
              <w:top w:type="dxa" w:w="80"/>
              <w:left w:type="dxa" w:w="140"/>
              <w:bottom w:type="dxa" w:w="80"/>
              <w:right w:type="dxa" w:w="140"/>
            </w:tcMar>
          </w:tcPr>
          <w:p>
            <w:r>
              <w:rPr>
                <w:b w:val="false"/>
                <w:bCs w:val="false"/>
                <w:color w:val="222222"/>
                <w:sz w:val="20"/>
                <w:szCs w:val="20"/>
              </w:rPr>
              <w:t xml:space="preserve">Every public page built from reorderable, fully-editable sections — text, images, icons, colours, buttons, cards.</w:t>
            </w:r>
          </w:p>
        </w:tc>
      </w:tr>
      <w:tr>
        <w:tc>
          <w:tcPr>
            <w:tcW w:type="dxa" w:w="2600"/>
            <w:tcBorders>
              <w:top w:val="single" w:color="CCD6E0" w:sz="2"/>
              <w:left w:val="single" w:color="CCD6E0" w:sz="2"/>
              <w:bottom w:val="single" w:color="CCD6E0" w:sz="2"/>
              <w:right w:val="single" w:color="CCD6E0" w:sz="2"/>
            </w:tcBorders>
            <w:shd w:fill="EEF3F8" w:val="clear"/>
            <w:tcMar>
              <w:top w:type="dxa" w:w="80"/>
              <w:left w:type="dxa" w:w="140"/>
              <w:bottom w:type="dxa" w:w="80"/>
              <w:right w:type="dxa" w:w="140"/>
            </w:tcMar>
          </w:tcPr>
          <w:p>
            <w:r>
              <w:rPr>
                <w:b/>
                <w:bCs/>
                <w:color w:val="0B2A4A"/>
                <w:sz w:val="20"/>
                <w:szCs w:val="20"/>
              </w:rPr>
              <w:t xml:space="preserve">Product Catalogue</w:t>
            </w:r>
          </w:p>
        </w:tc>
        <w:tc>
          <w:tcPr>
            <w:tcW w:type="dxa" w:w="6760"/>
            <w:tcBorders>
              <w:top w:val="single" w:color="CCD6E0" w:sz="2"/>
              <w:left w:val="single" w:color="CCD6E0" w:sz="2"/>
              <w:bottom w:val="single" w:color="CCD6E0" w:sz="2"/>
              <w:right w:val="single" w:color="CCD6E0" w:sz="2"/>
            </w:tcBorders>
            <w:shd w:fill="FFFFFF" w:val="clear"/>
            <w:tcMar>
              <w:top w:type="dxa" w:w="80"/>
              <w:left w:type="dxa" w:w="140"/>
              <w:bottom w:type="dxa" w:w="80"/>
              <w:right w:type="dxa" w:w="140"/>
            </w:tcMar>
          </w:tcPr>
          <w:p>
            <w:r>
              <w:rPr>
                <w:b w:val="false"/>
                <w:bCs w:val="false"/>
                <w:color w:val="222222"/>
                <w:sz w:val="20"/>
                <w:szCs w:val="20"/>
              </w:rPr>
              <w:t xml:space="preserve">Unlimited products with images, specifications, grade, origin, price/unit, min order qty and admin-defined units.</w:t>
            </w:r>
          </w:p>
        </w:tc>
      </w:tr>
      <w:tr>
        <w:tc>
          <w:tcPr>
            <w:tcW w:type="dxa" w:w="2600"/>
            <w:tcBorders>
              <w:top w:val="single" w:color="CCD6E0" w:sz="2"/>
              <w:left w:val="single" w:color="CCD6E0" w:sz="2"/>
              <w:bottom w:val="single" w:color="CCD6E0" w:sz="2"/>
              <w:right w:val="single" w:color="CCD6E0" w:sz="2"/>
            </w:tcBorders>
            <w:shd w:fill="EEF3F8" w:val="clear"/>
            <w:tcMar>
              <w:top w:type="dxa" w:w="80"/>
              <w:left w:type="dxa" w:w="140"/>
              <w:bottom w:type="dxa" w:w="80"/>
              <w:right w:type="dxa" w:w="140"/>
            </w:tcMar>
          </w:tcPr>
          <w:p>
            <w:r>
              <w:rPr>
                <w:b/>
                <w:bCs/>
                <w:color w:val="0B2A4A"/>
                <w:sz w:val="20"/>
                <w:szCs w:val="20"/>
              </w:rPr>
              <w:t xml:space="preserve">Quote / Order Flow</w:t>
            </w:r>
          </w:p>
        </w:tc>
        <w:tc>
          <w:tcPr>
            <w:tcW w:type="dxa" w:w="6760"/>
            <w:tcBorders>
              <w:top w:val="single" w:color="CCD6E0" w:sz="2"/>
              <w:left w:val="single" w:color="CCD6E0" w:sz="2"/>
              <w:bottom w:val="single" w:color="CCD6E0" w:sz="2"/>
              <w:right w:val="single" w:color="CCD6E0" w:sz="2"/>
            </w:tcBorders>
            <w:shd w:fill="FFFFFF" w:val="clear"/>
            <w:tcMar>
              <w:top w:type="dxa" w:w="80"/>
              <w:left w:type="dxa" w:w="140"/>
              <w:bottom w:type="dxa" w:w="80"/>
              <w:right w:type="dxa" w:w="140"/>
            </w:tcMar>
          </w:tcPr>
          <w:p>
            <w:r>
              <w:rPr>
                <w:b w:val="false"/>
                <w:bCs w:val="false"/>
                <w:color w:val="222222"/>
                <w:sz w:val="20"/>
                <w:szCs w:val="20"/>
              </w:rPr>
              <w:t xml:space="preserve">Built-in inquiry form per product; admin converts inquiries into tracked orders.</w:t>
            </w:r>
          </w:p>
        </w:tc>
      </w:tr>
      <w:tr>
        <w:tc>
          <w:tcPr>
            <w:tcW w:type="dxa" w:w="2600"/>
            <w:tcBorders>
              <w:top w:val="single" w:color="CCD6E0" w:sz="2"/>
              <w:left w:val="single" w:color="CCD6E0" w:sz="2"/>
              <w:bottom w:val="single" w:color="CCD6E0" w:sz="2"/>
              <w:right w:val="single" w:color="CCD6E0" w:sz="2"/>
            </w:tcBorders>
            <w:shd w:fill="EEF3F8" w:val="clear"/>
            <w:tcMar>
              <w:top w:type="dxa" w:w="80"/>
              <w:left w:type="dxa" w:w="140"/>
              <w:bottom w:type="dxa" w:w="80"/>
              <w:right w:type="dxa" w:w="140"/>
            </w:tcMar>
          </w:tcPr>
          <w:p>
            <w:r>
              <w:rPr>
                <w:b/>
                <w:bCs/>
                <w:color w:val="0B2A4A"/>
                <w:sz w:val="20"/>
                <w:szCs w:val="20"/>
              </w:rPr>
              <w:t xml:space="preserve">Customer Portal</w:t>
            </w:r>
          </w:p>
        </w:tc>
        <w:tc>
          <w:tcPr>
            <w:tcW w:type="dxa" w:w="6760"/>
            <w:tcBorders>
              <w:top w:val="single" w:color="CCD6E0" w:sz="2"/>
              <w:left w:val="single" w:color="CCD6E0" w:sz="2"/>
              <w:bottom w:val="single" w:color="CCD6E0" w:sz="2"/>
              <w:right w:val="single" w:color="CCD6E0" w:sz="2"/>
            </w:tcBorders>
            <w:shd w:fill="FFFFFF" w:val="clear"/>
            <w:tcMar>
              <w:top w:type="dxa" w:w="80"/>
              <w:left w:type="dxa" w:w="140"/>
              <w:bottom w:type="dxa" w:w="80"/>
              <w:right w:type="dxa" w:w="140"/>
            </w:tcMar>
          </w:tcPr>
          <w:p>
            <w:r>
              <w:rPr>
                <w:b w:val="false"/>
                <w:bCs w:val="false"/>
                <w:color w:val="222222"/>
                <w:sz w:val="20"/>
                <w:szCs w:val="20"/>
              </w:rPr>
              <w:t xml:space="preserve">Buyer login, order list, order detail, printable receipts.</w:t>
            </w:r>
          </w:p>
        </w:tc>
      </w:tr>
      <w:tr>
        <w:tc>
          <w:tcPr>
            <w:tcW w:type="dxa" w:w="2600"/>
            <w:tcBorders>
              <w:top w:val="single" w:color="CCD6E0" w:sz="2"/>
              <w:left w:val="single" w:color="CCD6E0" w:sz="2"/>
              <w:bottom w:val="single" w:color="CCD6E0" w:sz="2"/>
              <w:right w:val="single" w:color="CCD6E0" w:sz="2"/>
            </w:tcBorders>
            <w:shd w:fill="EEF3F8" w:val="clear"/>
            <w:tcMar>
              <w:top w:type="dxa" w:w="80"/>
              <w:left w:type="dxa" w:w="140"/>
              <w:bottom w:type="dxa" w:w="80"/>
              <w:right w:type="dxa" w:w="140"/>
            </w:tcMar>
          </w:tcPr>
          <w:p>
            <w:r>
              <w:rPr>
                <w:b/>
                <w:bCs/>
                <w:color w:val="0B2A4A"/>
                <w:sz w:val="20"/>
                <w:szCs w:val="20"/>
              </w:rPr>
              <w:t xml:space="preserve">Staff Portal</w:t>
            </w:r>
          </w:p>
        </w:tc>
        <w:tc>
          <w:tcPr>
            <w:tcW w:type="dxa" w:w="6760"/>
            <w:tcBorders>
              <w:top w:val="single" w:color="CCD6E0" w:sz="2"/>
              <w:left w:val="single" w:color="CCD6E0" w:sz="2"/>
              <w:bottom w:val="single" w:color="CCD6E0" w:sz="2"/>
              <w:right w:val="single" w:color="CCD6E0" w:sz="2"/>
            </w:tcBorders>
            <w:shd w:fill="FFFFFF" w:val="clear"/>
            <w:tcMar>
              <w:top w:type="dxa" w:w="80"/>
              <w:left w:type="dxa" w:w="140"/>
              <w:bottom w:type="dxa" w:w="80"/>
              <w:right w:type="dxa" w:w="140"/>
            </w:tcMar>
          </w:tcPr>
          <w:p>
            <w:r>
              <w:rPr>
                <w:b w:val="false"/>
                <w:bCs w:val="false"/>
                <w:color w:val="222222"/>
                <w:sz w:val="20"/>
                <w:szCs w:val="20"/>
              </w:rPr>
              <w:t xml:space="preserve">Tasks, crops, livestock and inventory management for operations staff.</w:t>
            </w:r>
          </w:p>
        </w:tc>
      </w:tr>
      <w:tr>
        <w:tc>
          <w:tcPr>
            <w:tcW w:type="dxa" w:w="2600"/>
            <w:tcBorders>
              <w:top w:val="single" w:color="CCD6E0" w:sz="2"/>
              <w:left w:val="single" w:color="CCD6E0" w:sz="2"/>
              <w:bottom w:val="single" w:color="CCD6E0" w:sz="2"/>
              <w:right w:val="single" w:color="CCD6E0" w:sz="2"/>
            </w:tcBorders>
            <w:shd w:fill="EEF3F8" w:val="clear"/>
            <w:tcMar>
              <w:top w:type="dxa" w:w="80"/>
              <w:left w:type="dxa" w:w="140"/>
              <w:bottom w:type="dxa" w:w="80"/>
              <w:right w:type="dxa" w:w="140"/>
            </w:tcMar>
          </w:tcPr>
          <w:p>
            <w:r>
              <w:rPr>
                <w:b/>
                <w:bCs/>
                <w:color w:val="0B2A4A"/>
                <w:sz w:val="20"/>
                <w:szCs w:val="20"/>
              </w:rPr>
              <w:t xml:space="preserve">Admin / ERP</w:t>
            </w:r>
          </w:p>
        </w:tc>
        <w:tc>
          <w:tcPr>
            <w:tcW w:type="dxa" w:w="6760"/>
            <w:tcBorders>
              <w:top w:val="single" w:color="CCD6E0" w:sz="2"/>
              <w:left w:val="single" w:color="CCD6E0" w:sz="2"/>
              <w:bottom w:val="single" w:color="CCD6E0" w:sz="2"/>
              <w:right w:val="single" w:color="CCD6E0" w:sz="2"/>
            </w:tcBorders>
            <w:shd w:fill="FFFFFF" w:val="clear"/>
            <w:tcMar>
              <w:top w:type="dxa" w:w="80"/>
              <w:left w:type="dxa" w:w="140"/>
              <w:bottom w:type="dxa" w:w="80"/>
              <w:right w:type="dxa" w:w="140"/>
            </w:tcMar>
          </w:tcPr>
          <w:p>
            <w:r>
              <w:rPr>
                <w:b w:val="false"/>
                <w:bCs w:val="false"/>
                <w:color w:val="222222"/>
                <w:sz w:val="20"/>
                <w:szCs w:val="20"/>
              </w:rPr>
              <w:t xml:space="preserve">Dashboard, products, orders, customers, inquiries, blog, services, team, testimonials, stats, projects, media library, farms, crops, livestock, inventory, tasks, finance, menus, popups, banners, galleries.</w:t>
            </w:r>
          </w:p>
        </w:tc>
      </w:tr>
      <w:tr>
        <w:tc>
          <w:tcPr>
            <w:tcW w:type="dxa" w:w="2600"/>
            <w:tcBorders>
              <w:top w:val="single" w:color="CCD6E0" w:sz="2"/>
              <w:left w:val="single" w:color="CCD6E0" w:sz="2"/>
              <w:bottom w:val="single" w:color="CCD6E0" w:sz="2"/>
              <w:right w:val="single" w:color="CCD6E0" w:sz="2"/>
            </w:tcBorders>
            <w:shd w:fill="EEF3F8" w:val="clear"/>
            <w:tcMar>
              <w:top w:type="dxa" w:w="80"/>
              <w:left w:type="dxa" w:w="140"/>
              <w:bottom w:type="dxa" w:w="80"/>
              <w:right w:type="dxa" w:w="140"/>
            </w:tcMar>
          </w:tcPr>
          <w:p>
            <w:r>
              <w:rPr>
                <w:b/>
                <w:bCs/>
                <w:color w:val="0B2A4A"/>
                <w:sz w:val="20"/>
                <w:szCs w:val="20"/>
              </w:rPr>
              <w:t xml:space="preserve">Blog &amp; Newsletter</w:t>
            </w:r>
          </w:p>
        </w:tc>
        <w:tc>
          <w:tcPr>
            <w:tcW w:type="dxa" w:w="6760"/>
            <w:tcBorders>
              <w:top w:val="single" w:color="CCD6E0" w:sz="2"/>
              <w:left w:val="single" w:color="CCD6E0" w:sz="2"/>
              <w:bottom w:val="single" w:color="CCD6E0" w:sz="2"/>
              <w:right w:val="single" w:color="CCD6E0" w:sz="2"/>
            </w:tcBorders>
            <w:shd w:fill="FFFFFF" w:val="clear"/>
            <w:tcMar>
              <w:top w:type="dxa" w:w="80"/>
              <w:left w:type="dxa" w:w="140"/>
              <w:bottom w:type="dxa" w:w="80"/>
              <w:right w:type="dxa" w:w="140"/>
            </w:tcMar>
          </w:tcPr>
          <w:p>
            <w:r>
              <w:rPr>
                <w:b w:val="false"/>
                <w:bCs w:val="false"/>
                <w:color w:val="222222"/>
                <w:sz w:val="20"/>
                <w:szCs w:val="20"/>
              </w:rPr>
              <w:t xml:space="preserve">Categorised blog with featured post, single-post layout, and a working newsletter signup.</w:t>
            </w:r>
          </w:p>
        </w:tc>
      </w:tr>
      <w:tr>
        <w:tc>
          <w:tcPr>
            <w:tcW w:type="dxa" w:w="2600"/>
            <w:tcBorders>
              <w:top w:val="single" w:color="CCD6E0" w:sz="2"/>
              <w:left w:val="single" w:color="CCD6E0" w:sz="2"/>
              <w:bottom w:val="single" w:color="CCD6E0" w:sz="2"/>
              <w:right w:val="single" w:color="CCD6E0" w:sz="2"/>
            </w:tcBorders>
            <w:shd w:fill="EEF3F8" w:val="clear"/>
            <w:tcMar>
              <w:top w:type="dxa" w:w="80"/>
              <w:left w:type="dxa" w:w="140"/>
              <w:bottom w:type="dxa" w:w="80"/>
              <w:right w:type="dxa" w:w="140"/>
            </w:tcMar>
          </w:tcPr>
          <w:p>
            <w:r>
              <w:rPr>
                <w:b/>
                <w:bCs/>
                <w:color w:val="0B2A4A"/>
                <w:sz w:val="20"/>
                <w:szCs w:val="20"/>
              </w:rPr>
              <w:t xml:space="preserve">Live Chat Widget</w:t>
            </w:r>
          </w:p>
        </w:tc>
        <w:tc>
          <w:tcPr>
            <w:tcW w:type="dxa" w:w="6760"/>
            <w:tcBorders>
              <w:top w:val="single" w:color="CCD6E0" w:sz="2"/>
              <w:left w:val="single" w:color="CCD6E0" w:sz="2"/>
              <w:bottom w:val="single" w:color="CCD6E0" w:sz="2"/>
              <w:right w:val="single" w:color="CCD6E0" w:sz="2"/>
            </w:tcBorders>
            <w:shd w:fill="FFFFFF" w:val="clear"/>
            <w:tcMar>
              <w:top w:type="dxa" w:w="80"/>
              <w:left w:type="dxa" w:w="140"/>
              <w:bottom w:type="dxa" w:w="80"/>
              <w:right w:type="dxa" w:w="140"/>
            </w:tcMar>
          </w:tcPr>
          <w:p>
            <w:r>
              <w:rPr>
                <w:b w:val="false"/>
                <w:bCs w:val="false"/>
                <w:color w:val="222222"/>
                <w:sz w:val="20"/>
                <w:szCs w:val="20"/>
              </w:rPr>
              <w:t xml:space="preserve">Visitor chat with an admin inbox (conversations + messages).</w:t>
            </w:r>
          </w:p>
        </w:tc>
      </w:tr>
      <w:tr>
        <w:tc>
          <w:tcPr>
            <w:tcW w:type="dxa" w:w="2600"/>
            <w:tcBorders>
              <w:top w:val="single" w:color="CCD6E0" w:sz="2"/>
              <w:left w:val="single" w:color="CCD6E0" w:sz="2"/>
              <w:bottom w:val="single" w:color="CCD6E0" w:sz="2"/>
              <w:right w:val="single" w:color="CCD6E0" w:sz="2"/>
            </w:tcBorders>
            <w:shd w:fill="EEF3F8" w:val="clear"/>
            <w:tcMar>
              <w:top w:type="dxa" w:w="80"/>
              <w:left w:type="dxa" w:w="140"/>
              <w:bottom w:type="dxa" w:w="80"/>
              <w:right w:type="dxa" w:w="140"/>
            </w:tcMar>
          </w:tcPr>
          <w:p>
            <w:r>
              <w:rPr>
                <w:b/>
                <w:bCs/>
                <w:color w:val="0B2A4A"/>
                <w:sz w:val="20"/>
                <w:szCs w:val="20"/>
              </w:rPr>
              <w:t xml:space="preserve">SEO &amp; Settings</w:t>
            </w:r>
          </w:p>
        </w:tc>
        <w:tc>
          <w:tcPr>
            <w:tcW w:type="dxa" w:w="6760"/>
            <w:tcBorders>
              <w:top w:val="single" w:color="CCD6E0" w:sz="2"/>
              <w:left w:val="single" w:color="CCD6E0" w:sz="2"/>
              <w:bottom w:val="single" w:color="CCD6E0" w:sz="2"/>
              <w:right w:val="single" w:color="CCD6E0" w:sz="2"/>
            </w:tcBorders>
            <w:shd w:fill="FFFFFF" w:val="clear"/>
            <w:tcMar>
              <w:top w:type="dxa" w:w="80"/>
              <w:left w:type="dxa" w:w="140"/>
              <w:bottom w:type="dxa" w:w="80"/>
              <w:right w:type="dxa" w:w="140"/>
            </w:tcMar>
          </w:tcPr>
          <w:p>
            <w:r>
              <w:rPr>
                <w:b w:val="false"/>
                <w:bCs w:val="false"/>
                <w:color w:val="222222"/>
                <w:sz w:val="20"/>
                <w:szCs w:val="20"/>
              </w:rPr>
              <w:t xml:space="preserve">Per-page SEO meta, company branding (logo, colours), contact details, social links.</w:t>
            </w:r>
          </w:p>
        </w:tc>
      </w:tr>
      <w:tr>
        <w:tc>
          <w:tcPr>
            <w:tcW w:type="dxa" w:w="2600"/>
            <w:tcBorders>
              <w:top w:val="single" w:color="CCD6E0" w:sz="2"/>
              <w:left w:val="single" w:color="CCD6E0" w:sz="2"/>
              <w:bottom w:val="single" w:color="CCD6E0" w:sz="2"/>
              <w:right w:val="single" w:color="CCD6E0" w:sz="2"/>
            </w:tcBorders>
            <w:shd w:fill="EEF3F8" w:val="clear"/>
            <w:tcMar>
              <w:top w:type="dxa" w:w="80"/>
              <w:left w:type="dxa" w:w="140"/>
              <w:bottom w:type="dxa" w:w="80"/>
              <w:right w:type="dxa" w:w="140"/>
            </w:tcMar>
          </w:tcPr>
          <w:p>
            <w:r>
              <w:rPr>
                <w:b/>
                <w:bCs/>
                <w:color w:val="0B2A4A"/>
                <w:sz w:val="20"/>
                <w:szCs w:val="20"/>
              </w:rPr>
              <w:t xml:space="preserve">Bilingual (EN/FR)</w:t>
            </w:r>
          </w:p>
        </w:tc>
        <w:tc>
          <w:tcPr>
            <w:tcW w:type="dxa" w:w="6760"/>
            <w:tcBorders>
              <w:top w:val="single" w:color="CCD6E0" w:sz="2"/>
              <w:left w:val="single" w:color="CCD6E0" w:sz="2"/>
              <w:bottom w:val="single" w:color="CCD6E0" w:sz="2"/>
              <w:right w:val="single" w:color="CCD6E0" w:sz="2"/>
            </w:tcBorders>
            <w:shd w:fill="FFFFFF" w:val="clear"/>
            <w:tcMar>
              <w:top w:type="dxa" w:w="80"/>
              <w:left w:type="dxa" w:w="140"/>
              <w:bottom w:type="dxa" w:w="80"/>
              <w:right w:type="dxa" w:w="140"/>
            </w:tcMar>
          </w:tcPr>
          <w:p>
            <w:r>
              <w:rPr>
                <w:b w:val="false"/>
                <w:bCs w:val="false"/>
                <w:color w:val="222222"/>
                <w:sz w:val="20"/>
                <w:szCs w:val="20"/>
              </w:rPr>
              <w:t xml:space="preserve">Locale switching with a fallback locale.</w:t>
            </w:r>
          </w:p>
        </w:tc>
      </w:tr>
      <w:tr>
        <w:tc>
          <w:tcPr>
            <w:tcW w:type="dxa" w:w="2600"/>
            <w:tcBorders>
              <w:top w:val="single" w:color="CCD6E0" w:sz="2"/>
              <w:left w:val="single" w:color="CCD6E0" w:sz="2"/>
              <w:bottom w:val="single" w:color="CCD6E0" w:sz="2"/>
              <w:right w:val="single" w:color="CCD6E0" w:sz="2"/>
            </w:tcBorders>
            <w:shd w:fill="EEF3F8" w:val="clear"/>
            <w:tcMar>
              <w:top w:type="dxa" w:w="80"/>
              <w:left w:type="dxa" w:w="140"/>
              <w:bottom w:type="dxa" w:w="80"/>
              <w:right w:type="dxa" w:w="140"/>
            </w:tcMar>
          </w:tcPr>
          <w:p>
            <w:r>
              <w:rPr>
                <w:b/>
                <w:bCs/>
                <w:color w:val="0B2A4A"/>
                <w:sz w:val="20"/>
                <w:szCs w:val="20"/>
              </w:rPr>
              <w:t xml:space="preserve">Roles &amp; Security</w:t>
            </w:r>
          </w:p>
        </w:tc>
        <w:tc>
          <w:tcPr>
            <w:tcW w:type="dxa" w:w="6760"/>
            <w:tcBorders>
              <w:top w:val="single" w:color="CCD6E0" w:sz="2"/>
              <w:left w:val="single" w:color="CCD6E0" w:sz="2"/>
              <w:bottom w:val="single" w:color="CCD6E0" w:sz="2"/>
              <w:right w:val="single" w:color="CCD6E0" w:sz="2"/>
            </w:tcBorders>
            <w:shd w:fill="FFFFFF" w:val="clear"/>
            <w:tcMar>
              <w:top w:type="dxa" w:w="80"/>
              <w:left w:type="dxa" w:w="140"/>
              <w:bottom w:type="dxa" w:w="80"/>
              <w:right w:type="dxa" w:w="140"/>
            </w:tcMar>
          </w:tcPr>
          <w:p>
            <w:r>
              <w:rPr>
                <w:b w:val="false"/>
                <w:bCs w:val="false"/>
                <w:color w:val="222222"/>
                <w:sz w:val="20"/>
                <w:szCs w:val="20"/>
              </w:rPr>
              <w:t xml:space="preserve">Admin, staff and customer roles with middleware-protected areas and Laravel authentication.</w:t>
            </w:r>
          </w:p>
        </w:tc>
      </w:tr>
    </w:tbl>
    <w:p>
      <w:r>
        <w:br w:type="page"/>
      </w:r>
    </w:p>
    <w:p>
      <w:pPr>
        <w:pStyle w:val="Heading1"/>
      </w:pPr>
      <w:r>
        <w:t xml:space="preserve">4. Page-by-Page Walkthrough</w:t>
      </w:r>
    </w:p>
    <w:p>
      <w:pPr>
        <w:pStyle w:val="Heading2"/>
      </w:pPr>
      <w:r>
        <w:t xml:space="preserve">4.1 Homepage</w:t>
      </w:r>
    </w:p>
    <w:p>
      <w:pPr>
        <w:spacing w:after="120"/>
      </w:pPr>
      <w:r>
        <w:t xml:space="preserve">A cinematic hero carousel (managed in the Hero area) leads into editable blocks: key statistics, core commodities (pulled from the product catalogue), the “Ibrasal Advantage”, a value-chain image bento, services, testimonials, market insights (latest blog posts), accreditation partners and a newsletter signup.</w:t>
      </w:r>
    </w:p>
    <w:p>
      <w:pPr>
        <w:spacing w:after="60" w:before="120"/>
        <w:jc w:val="center"/>
      </w:pPr>
      <w:r>
        <w:drawing>
          <wp:inline distT="0" distB="0" distL="0" distR="0">
            <wp:extent cx="4381500" cy="6696075"/>
            <wp:effectExtent t="0" r="0" b="0" l="0"/>
            <wp:docPr id="1" name="home" descr="home screenshot" title="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8" cstate="none"/>
                    <a:srcRect/>
                    <a:stretch>
                      <a:fillRect/>
                    </a:stretch>
                  </pic:blipFill>
                  <pic:spPr bwMode="auto">
                    <a:xfrm>
                      <a:off x="0" y="0"/>
                      <a:ext cx="4381500" cy="6696075"/>
                    </a:xfrm>
                    <a:prstGeom prst="rect">
                      <a:avLst/>
                    </a:prstGeom>
                  </pic:spPr>
                </pic:pic>
              </a:graphicData>
            </a:graphic>
          </wp:inline>
        </w:drawing>
      </w:r>
    </w:p>
    <w:p>
      <w:pPr>
        <w:pStyle w:val="Heading2"/>
      </w:pPr>
      <w:r>
        <w:t xml:space="preserve">4.2 Marketplace / Products</w:t>
      </w:r>
    </w:p>
    <w:p>
      <w:pPr>
        <w:spacing w:after="120"/>
      </w:pPr>
      <w:r>
        <w:t xml:space="preserve">A bento-style catalogue with category filter chips and live search. Each product card shows technical specifications and a quote button; a bulk-quote panel sits at the bottom. Clicking a product opens the detail page with the order/quote form.</w:t>
      </w:r>
    </w:p>
    <w:p>
      <w:pPr>
        <w:spacing w:after="60" w:before="120"/>
        <w:jc w:val="center"/>
      </w:pPr>
      <w:r>
        <w:drawing>
          <wp:inline distT="0" distB="0" distL="0" distR="0">
            <wp:extent cx="4381500" cy="7915275"/>
            <wp:effectExtent t="0" r="0" b="0" l="0"/>
            <wp:docPr id="1" name="marketplace" descr="marketplace screenshot" title="market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0" cstate="none"/>
                    <a:srcRect/>
                    <a:stretch>
                      <a:fillRect/>
                    </a:stretch>
                  </pic:blipFill>
                  <pic:spPr bwMode="auto">
                    <a:xfrm>
                      <a:off x="0" y="0"/>
                      <a:ext cx="4381500" cy="7915275"/>
                    </a:xfrm>
                    <a:prstGeom prst="rect">
                      <a:avLst/>
                    </a:prstGeom>
                  </pic:spPr>
                </pic:pic>
              </a:graphicData>
            </a:graphic>
          </wp:inline>
        </w:drawing>
      </w:r>
    </w:p>
    <w:p>
      <w:pPr>
        <w:spacing w:after="200"/>
        <w:jc w:val="center"/>
      </w:pPr>
      <w:r>
        <w:rPr>
          <w:i/>
          <w:iCs/>
          <w:color w:val="5B6470"/>
          <w:sz w:val="18"/>
          <w:szCs w:val="18"/>
        </w:rPr>
        <w:t xml:space="preserve">Marketplace — filterable bento catalogue of commodities</w:t>
      </w:r>
    </w:p>
    <w:p>
      <w:pPr>
        <w:pStyle w:val="Heading2"/>
      </w:pPr>
      <w:r>
        <w:t xml:space="preserve">4.3 About, Our History &amp; Our Team</w:t>
      </w:r>
    </w:p>
    <w:p>
      <w:pPr>
        <w:spacing w:after="120"/>
      </w:pPr>
      <w:r>
        <w:t xml:space="preserve">The About section tells the company story across three builder-driven pages: About (mission, vision, core values, advantage, global reach), Our History (a milestone timeline, growth stats, operational gallery and roadmap) and Our Team (leadership cards pulled from the Team module, departments and culture gallery).</w:t>
      </w:r>
    </w:p>
    <w:p>
      <w:pPr>
        <w:spacing w:after="60" w:before="120"/>
        <w:jc w:val="center"/>
      </w:pPr>
      <w:r>
        <w:drawing>
          <wp:inline distT="0" distB="0" distL="0" distR="0">
            <wp:extent cx="4191000" cy="8734425"/>
            <wp:effectExtent t="0" r="0" b="0" l="0"/>
            <wp:docPr id="1" name="about" descr="about screenshot" title="ab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1" cstate="none"/>
                    <a:srcRect/>
                    <a:stretch>
                      <a:fillRect/>
                    </a:stretch>
                  </pic:blipFill>
                  <pic:spPr bwMode="auto">
                    <a:xfrm>
                      <a:off x="0" y="0"/>
                      <a:ext cx="4191000" cy="8734425"/>
                    </a:xfrm>
                    <a:prstGeom prst="rect">
                      <a:avLst/>
                    </a:prstGeom>
                  </pic:spPr>
                </pic:pic>
              </a:graphicData>
            </a:graphic>
          </wp:inline>
        </w:drawing>
      </w:r>
    </w:p>
    <w:p>
      <w:pPr>
        <w:spacing w:after="200"/>
        <w:jc w:val="center"/>
      </w:pPr>
      <w:r>
        <w:rPr>
          <w:i/>
          <w:iCs/>
          <w:color w:val="5B6470"/>
          <w:sz w:val="18"/>
          <w:szCs w:val="18"/>
        </w:rPr>
        <w:t xml:space="preserve">About Us — mission, values and the “Ibrasal Advantage”</w:t>
      </w:r>
    </w:p>
    <w:p>
      <w:pPr>
        <w:spacing w:after="60" w:before="120"/>
        <w:jc w:val="center"/>
      </w:pPr>
      <w:r>
        <w:drawing>
          <wp:inline distT="0" distB="0" distL="0" distR="0">
            <wp:extent cx="4095750" cy="8534400"/>
            <wp:effectExtent t="0" r="0" b="0" l="0"/>
            <wp:docPr id="1" name="ourhistory" descr="ourhistory screenshot" title="our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2" cstate="none"/>
                    <a:srcRect/>
                    <a:stretch>
                      <a:fillRect/>
                    </a:stretch>
                  </pic:blipFill>
                  <pic:spPr bwMode="auto">
                    <a:xfrm>
                      <a:off x="0" y="0"/>
                      <a:ext cx="4095750" cy="8534400"/>
                    </a:xfrm>
                    <a:prstGeom prst="rect">
                      <a:avLst/>
                    </a:prstGeom>
                  </pic:spPr>
                </pic:pic>
              </a:graphicData>
            </a:graphic>
          </wp:inline>
        </w:drawing>
      </w:r>
    </w:p>
    <w:p>
      <w:pPr>
        <w:spacing w:after="200"/>
        <w:jc w:val="center"/>
      </w:pPr>
      <w:r>
        <w:rPr>
          <w:i/>
          <w:iCs/>
          <w:color w:val="5B6470"/>
          <w:sz w:val="18"/>
          <w:szCs w:val="18"/>
        </w:rPr>
        <w:t xml:space="preserve">Our History — interactive milestone timeline &amp; growth metrics</w:t>
      </w:r>
    </w:p>
    <w:p>
      <w:pPr>
        <w:pStyle w:val="Heading2"/>
      </w:pPr>
      <w:r>
        <w:t xml:space="preserve">4.4 Blog</w:t>
      </w:r>
    </w:p>
    <w:p>
      <w:pPr>
        <w:spacing w:after="120"/>
      </w:pPr>
      <w:r>
        <w:t xml:space="preserve">A market-intelligence blog with a featured post, category filters, a responsive grid, pagination and a newsletter signup. Each article has a styled single-post layout with related articles and share links.</w:t>
      </w:r>
    </w:p>
    <w:p>
      <w:pPr>
        <w:spacing w:after="60" w:before="120"/>
        <w:jc w:val="center"/>
      </w:pPr>
      <w:r>
        <w:drawing>
          <wp:inline distT="0" distB="0" distL="0" distR="0">
            <wp:extent cx="4381500" cy="7305675"/>
            <wp:effectExtent t="0" r="0" b="0" l="0"/>
            <wp:docPr id="1" name="blog" descr="blog screenshot" title="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3" cstate="none"/>
                    <a:srcRect/>
                    <a:stretch>
                      <a:fillRect/>
                    </a:stretch>
                  </pic:blipFill>
                  <pic:spPr bwMode="auto">
                    <a:xfrm>
                      <a:off x="0" y="0"/>
                      <a:ext cx="4381500" cy="7305675"/>
                    </a:xfrm>
                    <a:prstGeom prst="rect">
                      <a:avLst/>
                    </a:prstGeom>
                  </pic:spPr>
                </pic:pic>
              </a:graphicData>
            </a:graphic>
          </wp:inline>
        </w:drawing>
      </w:r>
    </w:p>
    <w:p>
      <w:pPr>
        <w:spacing w:after="200"/>
        <w:jc w:val="center"/>
      </w:pPr>
      <w:r>
        <w:rPr>
          <w:i/>
          <w:iCs/>
          <w:color w:val="5B6470"/>
          <w:sz w:val="18"/>
          <w:szCs w:val="18"/>
        </w:rPr>
        <w:t xml:space="preserve">Blog index — featured post + latest perspectives</w:t>
      </w:r>
    </w:p>
    <w:p>
      <w:pPr>
        <w:pStyle w:val="Heading2"/>
      </w:pPr>
      <w:r>
        <w:t xml:space="preserve">4.5 Contact</w:t>
      </w:r>
    </w:p>
    <w:p>
      <w:pPr>
        <w:spacing w:after="120"/>
      </w:pPr>
      <w:r>
        <w:t xml:space="preserve">A functional contact page: an inquiry form (name, email, company, subject, message), office/HQ info cards, specialised department cards, a branded map and an FAQ accordion. Submissions create an admin notification.</w:t>
      </w:r>
    </w:p>
    <w:p>
      <w:pPr>
        <w:spacing w:after="60" w:before="120"/>
        <w:jc w:val="center"/>
      </w:pPr>
      <w:r>
        <w:drawing>
          <wp:inline distT="0" distB="0" distL="0" distR="0">
            <wp:extent cx="4381500" cy="7305675"/>
            <wp:effectExtent t="0" r="0" b="0" l="0"/>
            <wp:docPr id="1" name="contact" descr="contact screenshot" title="cont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4" cstate="none"/>
                    <a:srcRect/>
                    <a:stretch>
                      <a:fillRect/>
                    </a:stretch>
                  </pic:blipFill>
                  <pic:spPr bwMode="auto">
                    <a:xfrm>
                      <a:off x="0" y="0"/>
                      <a:ext cx="4381500" cy="7305675"/>
                    </a:xfrm>
                    <a:prstGeom prst="rect">
                      <a:avLst/>
                    </a:prstGeom>
                  </pic:spPr>
                </pic:pic>
              </a:graphicData>
            </a:graphic>
          </wp:inline>
        </w:drawing>
      </w:r>
    </w:p>
    <w:p>
      <w:pPr>
        <w:spacing w:after="200"/>
        <w:jc w:val="center"/>
      </w:pPr>
      <w:r>
        <w:rPr>
          <w:i/>
          <w:iCs/>
          <w:color w:val="5B6470"/>
          <w:sz w:val="18"/>
          <w:szCs w:val="18"/>
        </w:rPr>
        <w:t xml:space="preserve">Contact — working inquiry form, info cards, map &amp; FAQ</w:t>
      </w:r>
    </w:p>
    <w:p>
      <w:pPr>
        <w:pStyle w:val="Heading2"/>
      </w:pPr>
      <w:r>
        <w:t xml:space="preserve">4.6 Legal Pages</w:t>
      </w:r>
    </w:p>
    <w:p>
      <w:pPr>
        <w:spacing w:after="120"/>
      </w:pPr>
      <w:r>
        <w:t xml:space="preserve">Privacy Policy and Terms &amp; Conditions use a professional legal-document layout: a sticky “Legal Center” side navigation, numbered sections, highlight cards and collapsible clauses — all editable from the page builder.</w:t>
      </w:r>
    </w:p>
    <w:p>
      <w:pPr>
        <w:spacing w:after="60" w:before="120"/>
        <w:jc w:val="center"/>
      </w:pPr>
      <w:r>
        <w:drawing>
          <wp:inline distT="0" distB="0" distL="0" distR="0">
            <wp:extent cx="4095750" cy="6829425"/>
            <wp:effectExtent t="0" r="0" b="0" l="0"/>
            <wp:docPr id="1" name="privacy" descr="privacy screenshot" title="priv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5" cstate="none"/>
                    <a:srcRect/>
                    <a:stretch>
                      <a:fillRect/>
                    </a:stretch>
                  </pic:blipFill>
                  <pic:spPr bwMode="auto">
                    <a:xfrm>
                      <a:off x="0" y="0"/>
                      <a:ext cx="4095750" cy="6829425"/>
                    </a:xfrm>
                    <a:prstGeom prst="rect">
                      <a:avLst/>
                    </a:prstGeom>
                  </pic:spPr>
                </pic:pic>
              </a:graphicData>
            </a:graphic>
          </wp:inline>
        </w:drawing>
      </w:r>
    </w:p>
    <w:p>
      <w:pPr>
        <w:spacing w:after="200"/>
        <w:jc w:val="center"/>
      </w:pPr>
      <w:r>
        <w:rPr>
          <w:i/>
          <w:iCs/>
          <w:color w:val="5B6470"/>
          <w:sz w:val="18"/>
          <w:szCs w:val="18"/>
        </w:rPr>
        <w:t xml:space="preserve">Privacy Policy — sticky side-nav legal layout</w:t>
      </w:r>
    </w:p>
    <w:p>
      <w:pPr>
        <w:pStyle w:val="Heading2"/>
      </w:pPr>
      <w:r>
        <w:t xml:space="preserve">4.7 Get Started / Quote Request</w:t>
      </w:r>
    </w:p>
    <w:p>
      <w:pPr>
        <w:spacing w:after="120"/>
      </w:pPr>
      <w:r>
        <w:t xml:space="preserve">A dedicated lead-capture form where buyers specify the product, quantity, unit, destination and timing. It feeds the same Inquiry pipeline used across the site.</w:t>
      </w:r>
    </w:p>
    <w:p>
      <w:pPr>
        <w:spacing w:after="60" w:before="120"/>
        <w:jc w:val="center"/>
      </w:pPr>
      <w:r>
        <w:drawing>
          <wp:inline distT="0" distB="0" distL="0" distR="0">
            <wp:extent cx="4095750" cy="5686425"/>
            <wp:effectExtent t="0" r="0" b="0" l="0"/>
            <wp:docPr id="1" name="getstarted" descr="getstarted screenshot" title="getstar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6" cstate="none"/>
                    <a:srcRect/>
                    <a:stretch>
                      <a:fillRect/>
                    </a:stretch>
                  </pic:blipFill>
                  <pic:spPr bwMode="auto">
                    <a:xfrm>
                      <a:off x="0" y="0"/>
                      <a:ext cx="4095750" cy="5686425"/>
                    </a:xfrm>
                    <a:prstGeom prst="rect">
                      <a:avLst/>
                    </a:prstGeom>
                  </pic:spPr>
                </pic:pic>
              </a:graphicData>
            </a:graphic>
          </wp:inline>
        </w:drawing>
      </w:r>
    </w:p>
    <w:p>
      <w:pPr>
        <w:spacing w:after="200"/>
        <w:jc w:val="center"/>
      </w:pPr>
      <w:r>
        <w:rPr>
          <w:i/>
          <w:iCs/>
          <w:color w:val="5B6470"/>
          <w:sz w:val="18"/>
          <w:szCs w:val="18"/>
        </w:rPr>
        <w:t xml:space="preserve">Get Started — central quote/inquiry capture form</w:t>
      </w:r>
    </w:p>
    <w:p>
      <w:r>
        <w:br w:type="page"/>
      </w:r>
    </w:p>
    <w:p>
      <w:pPr>
        <w:pStyle w:val="Heading1"/>
      </w:pPr>
      <w:r>
        <w:t xml:space="preserve">5. Admin Panel &amp; Portals</w:t>
      </w:r>
    </w:p>
    <w:p>
      <w:pPr>
        <w:spacing w:after="120"/>
      </w:pPr>
      <w:r>
        <w:t xml:space="preserve">Three secure login areas serve three audiences:</w:t>
      </w:r>
    </w:p>
    <w:p>
      <w:pPr>
        <w:pStyle w:val="ListParagraph"/>
        <w:numPr>
          <w:ilvl w:val="0"/>
          <w:numId w:val="2"/>
        </w:numPr>
        <w:spacing w:after="40"/>
      </w:pPr>
      <w:r>
        <w:rPr>
          <w:b/>
          <w:bCs/>
        </w:rPr>
        <w:t xml:space="preserve">Admin</w:t>
      </w:r>
      <w:r>
        <w:t xml:space="preserve"> — /login → full content + ERP back office (owner/manager).</w:t>
      </w:r>
    </w:p>
    <w:p>
      <w:pPr>
        <w:pStyle w:val="ListParagraph"/>
        <w:numPr>
          <w:ilvl w:val="0"/>
          <w:numId w:val="2"/>
        </w:numPr>
        <w:spacing w:after="40"/>
      </w:pPr>
      <w:r>
        <w:rPr>
          <w:b/>
          <w:bCs/>
        </w:rPr>
        <w:t xml:space="preserve">Staff</w:t>
      </w:r>
      <w:r>
        <w:t xml:space="preserve"> — /login → operations portal (tasks, crops, livestock, inventory).</w:t>
      </w:r>
    </w:p>
    <w:p>
      <w:pPr>
        <w:pStyle w:val="ListParagraph"/>
        <w:numPr>
          <w:ilvl w:val="0"/>
          <w:numId w:val="2"/>
        </w:numPr>
        <w:spacing w:after="40"/>
      </w:pPr>
      <w:r>
        <w:rPr>
          <w:b/>
          <w:bCs/>
        </w:rPr>
        <w:t xml:space="preserve">Customer</w:t>
      </w:r>
      <w:r>
        <w:t xml:space="preserve"> — /portal/login → buyer order tracking &amp; receipts.</w:t>
      </w:r>
    </w:p>
    <w:p>
      <w:pPr>
        <w:spacing w:before="100"/>
      </w:pPr>
      <w:r>
        <w:rPr>
          <w:i/>
          <w:iCs/>
          <w:color w:val="5B6470"/>
          <w:sz w:val="18"/>
          <w:szCs w:val="18"/>
        </w:rPr>
        <w:t xml:space="preserve">Login screens — Admin (left) and Customer Portal (right):</w:t>
      </w:r>
    </w:p>
    <w:tbl>
      <w:tblPr>
        <w:tblW w:type="dxa" w:w="9360"/>
        <w:tblBorders>
          <w:top w:val="single" w:color="auto" w:sz="4"/>
          <w:left w:val="single" w:color="auto" w:sz="4"/>
          <w:bottom w:val="single" w:color="auto" w:sz="4"/>
          <w:right w:val="single" w:color="auto" w:sz="4"/>
          <w:insideH w:val="single" w:color="auto" w:sz="4"/>
          <w:insideV w:val="single" w:color="auto" w:sz="4"/>
        </w:tblBorders>
      </w:tblPr>
      <w:tblGrid>
        <w:gridCol w:w="4680"/>
        <w:gridCol w:w="4680"/>
      </w:tblGrid>
      <w:tr>
        <w:tc>
          <w:tcPr>
            <w:tcW w:type="dxa" w:w="4680"/>
            <w:tcBorders>
              <w:top w:val="single" w:color="CCD6E0" w:sz="2"/>
              <w:left w:val="single" w:color="CCD6E0" w:sz="2"/>
              <w:bottom w:val="single" w:color="CCD6E0" w:sz="2"/>
              <w:right w:val="single" w:color="CCD6E0" w:sz="2"/>
            </w:tcBorders>
            <w:tcMar>
              <w:top w:type="dxa" w:w="60"/>
              <w:left w:type="dxa" w:w="60"/>
              <w:bottom w:type="dxa" w:w="60"/>
              <w:right w:type="dxa" w:w="60"/>
            </w:tcMar>
          </w:tcPr>
          <w:p>
            <w:pPr>
              <w:spacing w:after="60" w:before="120"/>
              <w:jc w:val="center"/>
            </w:pPr>
            <w:r>
              <w:drawing>
                <wp:inline distT="0" distB="0" distL="0" distR="0">
                  <wp:extent cx="2762250" cy="2686050"/>
                  <wp:effectExtent t="0" r="0" b="0" l="0"/>
                  <wp:docPr id="1" name="adminlogin" descr="adminlogin screenshot" title="adminlo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7" cstate="none"/>
                          <a:srcRect/>
                          <a:stretch>
                            <a:fillRect/>
                          </a:stretch>
                        </pic:blipFill>
                        <pic:spPr bwMode="auto">
                          <a:xfrm>
                            <a:off x="0" y="0"/>
                            <a:ext cx="2762250" cy="2686050"/>
                          </a:xfrm>
                          <a:prstGeom prst="rect">
                            <a:avLst/>
                          </a:prstGeom>
                        </pic:spPr>
                      </pic:pic>
                    </a:graphicData>
                  </a:graphic>
                </wp:inline>
              </w:drawing>
            </w:r>
          </w:p>
        </w:tc>
        <w:tc>
          <w:tcPr>
            <w:tcW w:type="dxa" w:w="4680"/>
            <w:tcBorders>
              <w:top w:val="single" w:color="CCD6E0" w:sz="2"/>
              <w:left w:val="single" w:color="CCD6E0" w:sz="2"/>
              <w:bottom w:val="single" w:color="CCD6E0" w:sz="2"/>
              <w:right w:val="single" w:color="CCD6E0" w:sz="2"/>
            </w:tcBorders>
            <w:tcMar>
              <w:top w:type="dxa" w:w="60"/>
              <w:left w:type="dxa" w:w="60"/>
              <w:bottom w:type="dxa" w:w="60"/>
              <w:right w:type="dxa" w:w="60"/>
            </w:tcMar>
          </w:tcPr>
          <w:p>
            <w:pPr>
              <w:spacing w:after="60" w:before="120"/>
              <w:jc w:val="center"/>
            </w:pPr>
            <w:r>
              <w:drawing>
                <wp:inline distT="0" distB="0" distL="0" distR="0">
                  <wp:extent cx="2762250" cy="2686050"/>
                  <wp:effectExtent t="0" r="0" b="0" l="0"/>
                  <wp:docPr id="1" name="portallogin" descr="portallogin screenshot" title="portallo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8" cstate="none"/>
                          <a:srcRect/>
                          <a:stretch>
                            <a:fillRect/>
                          </a:stretch>
                        </pic:blipFill>
                        <pic:spPr bwMode="auto">
                          <a:xfrm>
                            <a:off x="0" y="0"/>
                            <a:ext cx="2762250" cy="2686050"/>
                          </a:xfrm>
                          <a:prstGeom prst="rect">
                            <a:avLst/>
                          </a:prstGeom>
                        </pic:spPr>
                      </pic:pic>
                    </a:graphicData>
                  </a:graphic>
                </wp:inline>
              </w:drawing>
            </w:r>
          </w:p>
        </w:tc>
      </w:tr>
    </w:tbl>
    <w:p>
      <w:pPr>
        <w:pStyle w:val="Heading2"/>
      </w:pPr>
      <w:r>
        <w:t xml:space="preserve">The Admin Dashboard</w:t>
      </w:r>
    </w:p>
    <w:p>
      <w:pPr>
        <w:spacing w:after="120"/>
      </w:pPr>
      <w:r>
        <w:t xml:space="preserve">After logging in at /login, the admin lands on a dashboard with at-a-glance metrics — active products, shipments, unread live chats and net profit (income vs. expense, in Naira) — plus quick-jump cards, recent chats and the latest inquiry/chat notifications. A left sidebar groups every module into Content, Engagement, Media, Trade and System.</w:t>
      </w:r>
    </w:p>
    <w:p>
      <w:pPr>
        <w:spacing w:after="60" w:before="120"/>
        <w:jc w:val="center"/>
      </w:pPr>
      <w:r>
        <w:drawing>
          <wp:inline distT="0" distB="0" distL="0" distR="0">
            <wp:extent cx="4381500" cy="5172075"/>
            <wp:effectExtent t="0" r="0" b="0" l="0"/>
            <wp:docPr id="1" name="admin-dashboard" descr="admin-dashboard screenshot" title="admin-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9" cstate="none"/>
                    <a:srcRect/>
                    <a:stretch>
                      <a:fillRect/>
                    </a:stretch>
                  </pic:blipFill>
                  <pic:spPr bwMode="auto">
                    <a:xfrm>
                      <a:off x="0" y="0"/>
                      <a:ext cx="4381500" cy="5172075"/>
                    </a:xfrm>
                    <a:prstGeom prst="rect">
                      <a:avLst/>
                    </a:prstGeom>
                  </pic:spPr>
                </pic:pic>
              </a:graphicData>
            </a:graphic>
          </wp:inline>
        </w:drawing>
      </w:r>
    </w:p>
    <w:p>
      <w:pPr>
        <w:spacing w:after="200"/>
        <w:jc w:val="center"/>
      </w:pPr>
      <w:r>
        <w:rPr>
          <w:i/>
          <w:iCs/>
          <w:color w:val="5B6470"/>
          <w:sz w:val="18"/>
          <w:szCs w:val="18"/>
        </w:rPr>
        <w:t xml:space="preserve">Admin Dashboard — KPIs, quick links, recent chats &amp; notifications</w:t>
      </w:r>
    </w:p>
    <w:p>
      <w:pPr>
        <w:pStyle w:val="Heading2"/>
      </w:pPr>
      <w:r>
        <w:t xml:space="preserve">Essential Admin Tabs Explained</w:t>
      </w:r>
    </w:p>
    <w:p>
      <w:pPr>
        <w:pStyle w:val="Heading3"/>
      </w:pPr>
      <w:r>
        <w:t xml:space="preserve">Page Sections — the visual page builder</w:t>
      </w:r>
    </w:p>
    <w:p>
      <w:pPr>
        <w:spacing w:after="120"/>
      </w:pPr>
      <w:r>
        <w:t xml:space="preserve">The most important tab for day-to-day editing. Pick any public page (Home, About, Our History, Our Team, Marketplace, Blog, Contact, Privacy, Terms) and edit it block-by-block: headings, body text, images (upload or URL), icons, background colours, buttons and card items. Sections can be added, reordered, toggled on/off and deleted — so the whole site is editable without touching code. A shortcut here links to the Hero slider manager.</w:t>
      </w:r>
    </w:p>
    <w:p>
      <w:pPr>
        <w:spacing w:after="60" w:before="120"/>
        <w:jc w:val="center"/>
      </w:pPr>
      <w:r>
        <w:drawing>
          <wp:inline distT="0" distB="0" distL="0" distR="0">
            <wp:extent cx="4381500" cy="5172075"/>
            <wp:effectExtent t="0" r="0" b="0" l="0"/>
            <wp:docPr id="1" name="admin-sections" descr="admin-sections screenshot" title="admin-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0" cstate="none"/>
                    <a:srcRect/>
                    <a:stretch>
                      <a:fillRect/>
                    </a:stretch>
                  </pic:blipFill>
                  <pic:spPr bwMode="auto">
                    <a:xfrm>
                      <a:off x="0" y="0"/>
                      <a:ext cx="4381500" cy="5172075"/>
                    </a:xfrm>
                    <a:prstGeom prst="rect">
                      <a:avLst/>
                    </a:prstGeom>
                  </pic:spPr>
                </pic:pic>
              </a:graphicData>
            </a:graphic>
          </wp:inline>
        </w:drawing>
      </w:r>
    </w:p>
    <w:p>
      <w:pPr>
        <w:spacing w:after="200"/>
        <w:jc w:val="center"/>
      </w:pPr>
      <w:r>
        <w:rPr>
          <w:i/>
          <w:iCs/>
          <w:color w:val="5B6470"/>
          <w:sz w:val="18"/>
          <w:szCs w:val="18"/>
        </w:rPr>
        <w:t xml:space="preserve">Page Sections — every block of every page is editable &amp; reorderable</w:t>
      </w:r>
    </w:p>
    <w:p>
      <w:pPr>
        <w:pStyle w:val="Heading3"/>
      </w:pPr>
      <w:r>
        <w:t xml:space="preserve">Hero Sections — banners &amp; sliders</w:t>
      </w:r>
    </w:p>
    <w:p>
      <w:pPr>
        <w:spacing w:after="120"/>
      </w:pPr>
      <w:r>
        <w:t xml:space="preserve">Manage the large hero banner at the top of the homepage (and other pages). Upload a background image, set the headline, subheading and two call-to-action buttons, and add multiple slides to create an auto-rotating carousel. This is where you change the main hero image.</w:t>
      </w:r>
    </w:p>
    <w:p>
      <w:pPr>
        <w:spacing w:after="60" w:before="120"/>
        <w:jc w:val="center"/>
      </w:pPr>
      <w:r>
        <w:drawing>
          <wp:inline distT="0" distB="0" distL="0" distR="0">
            <wp:extent cx="4381500" cy="4562475"/>
            <wp:effectExtent t="0" r="0" b="0" l="0"/>
            <wp:docPr id="1" name="admin-hero" descr="admin-hero screenshot" title="admin-h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1" cstate="none"/>
                    <a:srcRect/>
                    <a:stretch>
                      <a:fillRect/>
                    </a:stretch>
                  </pic:blipFill>
                  <pic:spPr bwMode="auto">
                    <a:xfrm>
                      <a:off x="0" y="0"/>
                      <a:ext cx="4381500" cy="4562475"/>
                    </a:xfrm>
                    <a:prstGeom prst="rect">
                      <a:avLst/>
                    </a:prstGeom>
                  </pic:spPr>
                </pic:pic>
              </a:graphicData>
            </a:graphic>
          </wp:inline>
        </w:drawing>
      </w:r>
    </w:p>
    <w:p>
      <w:pPr>
        <w:spacing w:after="200"/>
        <w:jc w:val="center"/>
      </w:pPr>
      <w:r>
        <w:rPr>
          <w:i/>
          <w:iCs/>
          <w:color w:val="5B6470"/>
          <w:sz w:val="18"/>
          <w:szCs w:val="18"/>
        </w:rPr>
        <w:t xml:space="preserve">Hero Sections — image upload + multiple carousel slides</w:t>
      </w:r>
    </w:p>
    <w:p>
      <w:pPr>
        <w:pStyle w:val="Heading3"/>
      </w:pPr>
      <w:r>
        <w:t xml:space="preserve">Products — your commodity catalogue</w:t>
      </w:r>
    </w:p>
    <w:p>
      <w:pPr>
        <w:spacing w:after="120"/>
      </w:pPr>
      <w:r>
        <w:t xml:space="preserve">Create and manage every commodity: name, images, category, excerpt/description, grade, origin, technical specifications (oil content, moisture, purity, etc.), price-per-unit and currency, minimum order quantity, and the units buyers may choose (kg, tonne, bags, container). Products appear automatically on the homepage and marketplace, and drive the quote/order flow.</w:t>
      </w:r>
    </w:p>
    <w:p>
      <w:pPr>
        <w:spacing w:after="60" w:before="120"/>
        <w:jc w:val="center"/>
      </w:pPr>
      <w:r>
        <w:drawing>
          <wp:inline distT="0" distB="0" distL="0" distR="0">
            <wp:extent cx="4381500" cy="4562475"/>
            <wp:effectExtent t="0" r="0" b="0" l="0"/>
            <wp:docPr id="1" name="admin-products" descr="admin-products screenshot" title="admin-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2" cstate="none"/>
                    <a:srcRect/>
                    <a:stretch>
                      <a:fillRect/>
                    </a:stretch>
                  </pic:blipFill>
                  <pic:spPr bwMode="auto">
                    <a:xfrm>
                      <a:off x="0" y="0"/>
                      <a:ext cx="4381500" cy="4562475"/>
                    </a:xfrm>
                    <a:prstGeom prst="rect">
                      <a:avLst/>
                    </a:prstGeom>
                  </pic:spPr>
                </pic:pic>
              </a:graphicData>
            </a:graphic>
          </wp:inline>
        </w:drawing>
      </w:r>
    </w:p>
    <w:p>
      <w:pPr>
        <w:spacing w:after="200"/>
        <w:jc w:val="center"/>
      </w:pPr>
      <w:r>
        <w:rPr>
          <w:i/>
          <w:iCs/>
          <w:color w:val="5B6470"/>
          <w:sz w:val="18"/>
          <w:szCs w:val="18"/>
        </w:rPr>
        <w:t xml:space="preserve">Products — catalogue with specs, units &amp; pricing</w:t>
      </w:r>
    </w:p>
    <w:p>
      <w:pPr>
        <w:pStyle w:val="Heading3"/>
      </w:pPr>
      <w:r>
        <w:t xml:space="preserve">Orders &amp; Inquiries — the sales pipeline</w:t>
      </w:r>
    </w:p>
    <w:p>
      <w:pPr>
        <w:spacing w:after="120"/>
      </w:pPr>
      <w:r>
        <w:t xml:space="preserve">Inquiries collects every quote request from product pages, the Get Started form and the contact page. The admin reviews each one and converts it into an Order. Orders manage the fulfilment lifecycle with status and shipment tracking entries that the customer sees in their portal.</w:t>
      </w:r>
    </w:p>
    <w:tbl>
      <w:tblPr>
        <w:tblW w:type="dxa" w:w="9360"/>
        <w:tblBorders>
          <w:top w:val="single" w:color="auto" w:sz="4"/>
          <w:left w:val="single" w:color="auto" w:sz="4"/>
          <w:bottom w:val="single" w:color="auto" w:sz="4"/>
          <w:right w:val="single" w:color="auto" w:sz="4"/>
          <w:insideH w:val="single" w:color="auto" w:sz="4"/>
          <w:insideV w:val="single" w:color="auto" w:sz="4"/>
        </w:tblBorders>
      </w:tblPr>
      <w:tblGrid>
        <w:gridCol w:w="4680"/>
        <w:gridCol w:w="4680"/>
      </w:tblGrid>
      <w:tr>
        <w:tc>
          <w:tcPr>
            <w:tcW w:type="dxa" w:w="4680"/>
            <w:tcBorders>
              <w:top w:val="single" w:color="CCD6E0" w:sz="2"/>
              <w:left w:val="single" w:color="CCD6E0" w:sz="2"/>
              <w:bottom w:val="single" w:color="CCD6E0" w:sz="2"/>
              <w:right w:val="single" w:color="CCD6E0" w:sz="2"/>
            </w:tcBorders>
            <w:tcMar>
              <w:top w:type="dxa" w:w="60"/>
              <w:left w:type="dxa" w:w="60"/>
              <w:bottom w:type="dxa" w:w="60"/>
              <w:right w:type="dxa" w:w="60"/>
            </w:tcMar>
          </w:tcPr>
          <w:p>
            <w:pPr>
              <w:spacing w:after="60" w:before="120"/>
              <w:jc w:val="center"/>
            </w:pPr>
            <w:r>
              <w:drawing>
                <wp:inline distT="0" distB="0" distL="0" distR="0">
                  <wp:extent cx="2762250" cy="2686050"/>
                  <wp:effectExtent t="0" r="0" b="0" l="0"/>
                  <wp:docPr id="1" name="admin-inquiries" descr="admin-inquiries screenshot" title="admin-inqui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3" cstate="none"/>
                          <a:srcRect/>
                          <a:stretch>
                            <a:fillRect/>
                          </a:stretch>
                        </pic:blipFill>
                        <pic:spPr bwMode="auto">
                          <a:xfrm>
                            <a:off x="0" y="0"/>
                            <a:ext cx="2762250" cy="2686050"/>
                          </a:xfrm>
                          <a:prstGeom prst="rect">
                            <a:avLst/>
                          </a:prstGeom>
                        </pic:spPr>
                      </pic:pic>
                    </a:graphicData>
                  </a:graphic>
                </wp:inline>
              </w:drawing>
            </w:r>
          </w:p>
          <w:p>
            <w:pPr>
              <w:spacing w:after="200"/>
              <w:jc w:val="center"/>
            </w:pPr>
            <w:r>
              <w:rPr>
                <w:i/>
                <w:iCs/>
                <w:color w:val="5B6470"/>
                <w:sz w:val="18"/>
                <w:szCs w:val="18"/>
              </w:rPr>
              <w:t xml:space="preserve">Inquiries inbox</w:t>
            </w:r>
          </w:p>
        </w:tc>
        <w:tc>
          <w:tcPr>
            <w:tcW w:type="dxa" w:w="4680"/>
            <w:tcBorders>
              <w:top w:val="single" w:color="CCD6E0" w:sz="2"/>
              <w:left w:val="single" w:color="CCD6E0" w:sz="2"/>
              <w:bottom w:val="single" w:color="CCD6E0" w:sz="2"/>
              <w:right w:val="single" w:color="CCD6E0" w:sz="2"/>
            </w:tcBorders>
            <w:tcMar>
              <w:top w:type="dxa" w:w="60"/>
              <w:left w:type="dxa" w:w="60"/>
              <w:bottom w:type="dxa" w:w="60"/>
              <w:right w:type="dxa" w:w="60"/>
            </w:tcMar>
          </w:tcPr>
          <w:p>
            <w:pPr>
              <w:spacing w:after="60" w:before="120"/>
              <w:jc w:val="center"/>
            </w:pPr>
            <w:r>
              <w:drawing>
                <wp:inline distT="0" distB="0" distL="0" distR="0">
                  <wp:extent cx="2762250" cy="2686050"/>
                  <wp:effectExtent t="0" r="0" b="0" l="0"/>
                  <wp:docPr id="1" name="admin-orders" descr="admin-orders screenshot" title="admin-or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4" cstate="none"/>
                          <a:srcRect/>
                          <a:stretch>
                            <a:fillRect/>
                          </a:stretch>
                        </pic:blipFill>
                        <pic:spPr bwMode="auto">
                          <a:xfrm>
                            <a:off x="0" y="0"/>
                            <a:ext cx="2762250" cy="2686050"/>
                          </a:xfrm>
                          <a:prstGeom prst="rect">
                            <a:avLst/>
                          </a:prstGeom>
                        </pic:spPr>
                      </pic:pic>
                    </a:graphicData>
                  </a:graphic>
                </wp:inline>
              </w:drawing>
            </w:r>
          </w:p>
          <w:p>
            <w:pPr>
              <w:spacing w:after="200"/>
              <w:jc w:val="center"/>
            </w:pPr>
            <w:r>
              <w:rPr>
                <w:i/>
                <w:iCs/>
                <w:color w:val="5B6470"/>
                <w:sz w:val="18"/>
                <w:szCs w:val="18"/>
              </w:rPr>
              <w:t xml:space="preserve">Orders &amp; tracking</w:t>
            </w:r>
          </w:p>
        </w:tc>
      </w:tr>
    </w:tbl>
    <w:p>
      <w:pPr>
        <w:pStyle w:val="Heading3"/>
      </w:pPr>
      <w:r>
        <w:t xml:space="preserve">Blog — market insights</w:t>
      </w:r>
    </w:p>
    <w:p>
      <w:pPr>
        <w:spacing w:after="120"/>
      </w:pPr>
      <w:r>
        <w:t xml:space="preserve">Write and publish articles with a featured image, category, tags, excerpt and body. Posts power the blog index, the single-post pages, the homepage Market Insights block and the newsletter audience.</w:t>
      </w:r>
    </w:p>
    <w:p>
      <w:pPr>
        <w:spacing w:after="60" w:before="120"/>
        <w:jc w:val="center"/>
      </w:pPr>
      <w:r>
        <w:drawing>
          <wp:inline distT="0" distB="0" distL="0" distR="0">
            <wp:extent cx="4381500" cy="4562475"/>
            <wp:effectExtent t="0" r="0" b="0" l="0"/>
            <wp:docPr id="1" name="admin-blog" descr="admin-blog screenshot" title="admin-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5" cstate="none"/>
                    <a:srcRect/>
                    <a:stretch>
                      <a:fillRect/>
                    </a:stretch>
                  </pic:blipFill>
                  <pic:spPr bwMode="auto">
                    <a:xfrm>
                      <a:off x="0" y="0"/>
                      <a:ext cx="4381500" cy="4562475"/>
                    </a:xfrm>
                    <a:prstGeom prst="rect">
                      <a:avLst/>
                    </a:prstGeom>
                  </pic:spPr>
                </pic:pic>
              </a:graphicData>
            </a:graphic>
          </wp:inline>
        </w:drawing>
      </w:r>
    </w:p>
    <w:p>
      <w:pPr>
        <w:spacing w:after="200"/>
        <w:jc w:val="center"/>
      </w:pPr>
      <w:r>
        <w:rPr>
          <w:i/>
          <w:iCs/>
          <w:color w:val="5B6470"/>
          <w:sz w:val="18"/>
          <w:szCs w:val="18"/>
        </w:rPr>
        <w:t xml:space="preserve">Blog manager — posts, categories &amp; featured images</w:t>
      </w:r>
    </w:p>
    <w:p>
      <w:pPr>
        <w:pStyle w:val="Heading3"/>
      </w:pPr>
      <w:r>
        <w:t xml:space="preserve">Settings — global branding</w:t>
      </w:r>
    </w:p>
    <w:p>
      <w:pPr>
        <w:spacing w:after="120"/>
      </w:pPr>
      <w:r>
        <w:t xml:space="preserve">Control site-wide identity: company name, logo upload, brand colours, contact email/phone/address, social links and footer style. Changes apply across the public site, the login screens and the footer.</w:t>
      </w:r>
    </w:p>
    <w:p>
      <w:pPr>
        <w:spacing w:after="60" w:before="120"/>
        <w:jc w:val="center"/>
      </w:pPr>
      <w:r>
        <w:drawing>
          <wp:inline distT="0" distB="0" distL="0" distR="0">
            <wp:extent cx="4381500" cy="5172075"/>
            <wp:effectExtent t="0" r="0" b="0" l="0"/>
            <wp:docPr id="1" name="admin-settings" descr="admin-settings screenshot" title="admin-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6" cstate="none"/>
                    <a:srcRect/>
                    <a:stretch>
                      <a:fillRect/>
                    </a:stretch>
                  </pic:blipFill>
                  <pic:spPr bwMode="auto">
                    <a:xfrm>
                      <a:off x="0" y="0"/>
                      <a:ext cx="4381500" cy="5172075"/>
                    </a:xfrm>
                    <a:prstGeom prst="rect">
                      <a:avLst/>
                    </a:prstGeom>
                  </pic:spPr>
                </pic:pic>
              </a:graphicData>
            </a:graphic>
          </wp:inline>
        </w:drawing>
      </w:r>
    </w:p>
    <w:p>
      <w:pPr>
        <w:spacing w:after="200"/>
        <w:jc w:val="center"/>
      </w:pPr>
      <w:r>
        <w:rPr>
          <w:i/>
          <w:iCs/>
          <w:color w:val="5B6470"/>
          <w:sz w:val="18"/>
          <w:szCs w:val="18"/>
        </w:rPr>
        <w:t xml:space="preserve">Settings — company branding, contact details &amp; social links</w:t>
      </w:r>
    </w:p>
    <w:p>
      <w:pPr>
        <w:pStyle w:val="Heading2"/>
      </w:pPr>
      <w:r>
        <w:t xml:space="preserve">Full Module List</w:t>
      </w:r>
    </w:p>
    <w:p>
      <w:pPr>
        <w:spacing w:after="120"/>
      </w:pPr>
      <w:r>
        <w:t xml:space="preserve">Beyond the essentials above, the admin sidebar also includes:</w:t>
      </w:r>
    </w:p>
    <w:p>
      <w:pPr>
        <w:pStyle w:val="ListParagraph"/>
        <w:numPr>
          <w:ilvl w:val="0"/>
          <w:numId w:val="2"/>
        </w:numPr>
        <w:spacing w:after="40"/>
      </w:pPr>
      <w:r>
        <w:rPr>
          <w:b/>
          <w:bCs/>
        </w:rPr>
        <w:t xml:space="preserve">Content</w:t>
      </w:r>
      <w:r>
        <w:t xml:space="preserve">: Services, Testimonials, Team Members, Statistics, Projects.</w:t>
      </w:r>
    </w:p>
    <w:p>
      <w:pPr>
        <w:pStyle w:val="ListParagraph"/>
        <w:numPr>
          <w:ilvl w:val="0"/>
          <w:numId w:val="2"/>
        </w:numPr>
        <w:spacing w:after="40"/>
      </w:pPr>
      <w:r>
        <w:rPr>
          <w:b/>
          <w:bCs/>
        </w:rPr>
        <w:t xml:space="preserve">Engagement</w:t>
      </w:r>
      <w:r>
        <w:t xml:space="preserve">: Chat Inbox (live-visitor chat), Pop-ups, Menus.</w:t>
      </w:r>
    </w:p>
    <w:p>
      <w:pPr>
        <w:pStyle w:val="ListParagraph"/>
        <w:numPr>
          <w:ilvl w:val="0"/>
          <w:numId w:val="2"/>
        </w:numPr>
        <w:spacing w:after="40"/>
      </w:pPr>
      <w:r>
        <w:rPr>
          <w:b/>
          <w:bCs/>
        </w:rPr>
        <w:t xml:space="preserve">Media</w:t>
      </w:r>
      <w:r>
        <w:t xml:space="preserve">: Media Library, Banners, Galleries.</w:t>
      </w:r>
    </w:p>
    <w:p>
      <w:pPr>
        <w:pStyle w:val="ListParagraph"/>
        <w:numPr>
          <w:ilvl w:val="0"/>
          <w:numId w:val="2"/>
        </w:numPr>
        <w:spacing w:after="40"/>
      </w:pPr>
      <w:r>
        <w:rPr>
          <w:b/>
          <w:bCs/>
        </w:rPr>
        <w:t xml:space="preserve">Trade</w:t>
      </w:r>
      <w:r>
        <w:t xml:space="preserve">: Customers, Shipments, Financial Reports.</w:t>
      </w:r>
    </w:p>
    <w:p>
      <w:pPr>
        <w:pStyle w:val="ListParagraph"/>
        <w:numPr>
          <w:ilvl w:val="0"/>
          <w:numId w:val="2"/>
        </w:numPr>
        <w:spacing w:after="40"/>
      </w:pPr>
      <w:r>
        <w:rPr>
          <w:b/>
          <w:bCs/>
        </w:rPr>
        <w:t xml:space="preserve">System</w:t>
      </w:r>
      <w:r>
        <w:t xml:space="preserve">: Users (admin/staff accounts), SEO (per-page meta).</w:t>
      </w:r>
    </w:p>
    <w:p>
      <w:pPr>
        <w:pStyle w:val="ListParagraph"/>
        <w:numPr>
          <w:ilvl w:val="0"/>
          <w:numId w:val="2"/>
        </w:numPr>
        <w:spacing w:after="40"/>
      </w:pPr>
      <w:r>
        <w:rPr>
          <w:b/>
          <w:bCs/>
        </w:rPr>
        <w:t xml:space="preserve">Operations</w:t>
      </w:r>
      <w:r>
        <w:t xml:space="preserve"> (staff/admin): Farms, Crops, Livestock, Inventory, Tasks, Finance.</w:t>
      </w:r>
    </w:p>
    <w:p>
      <w:pPr>
        <w:pStyle w:val="Heading1"/>
      </w:pPr>
      <w:r>
        <w:t xml:space="preserve">6. Technology &amp; Requirements</w:t>
      </w:r>
    </w:p>
    <w:tbl>
      <w:tblPr>
        <w:tblW w:type="dxa" w:w="9360"/>
        <w:tblBorders>
          <w:top w:val="single" w:color="auto" w:sz="4"/>
          <w:left w:val="single" w:color="auto" w:sz="4"/>
          <w:bottom w:val="single" w:color="auto" w:sz="4"/>
          <w:right w:val="single" w:color="auto" w:sz="4"/>
          <w:insideH w:val="single" w:color="auto" w:sz="4"/>
          <w:insideV w:val="single" w:color="auto" w:sz="4"/>
        </w:tblBorders>
      </w:tblPr>
      <w:tblGrid>
        <w:gridCol w:w="2600"/>
        <w:gridCol w:w="6760"/>
      </w:tblGrid>
      <w:tr>
        <w:tc>
          <w:tcPr>
            <w:tcW w:type="dxa" w:w="2600"/>
            <w:tcBorders>
              <w:top w:val="single" w:color="CCD6E0" w:sz="2"/>
              <w:left w:val="single" w:color="CCD6E0" w:sz="2"/>
              <w:bottom w:val="single" w:color="CCD6E0" w:sz="2"/>
              <w:right w:val="single" w:color="CCD6E0" w:sz="2"/>
            </w:tcBorders>
            <w:shd w:fill="0B2A4A" w:val="clear"/>
            <w:tcMar>
              <w:top w:type="dxa" w:w="80"/>
              <w:left w:type="dxa" w:w="140"/>
              <w:bottom w:type="dxa" w:w="80"/>
              <w:right w:type="dxa" w:w="140"/>
            </w:tcMar>
          </w:tcPr>
          <w:p>
            <w:r>
              <w:rPr>
                <w:b/>
                <w:bCs/>
                <w:color w:val="FFFFFF"/>
                <w:sz w:val="20"/>
                <w:szCs w:val="20"/>
              </w:rPr>
              <w:t xml:space="preserve">Item</w:t>
            </w:r>
          </w:p>
        </w:tc>
        <w:tc>
          <w:tcPr>
            <w:tcW w:type="dxa" w:w="6760"/>
            <w:tcBorders>
              <w:top w:val="single" w:color="CCD6E0" w:sz="2"/>
              <w:left w:val="single" w:color="CCD6E0" w:sz="2"/>
              <w:bottom w:val="single" w:color="CCD6E0" w:sz="2"/>
              <w:right w:val="single" w:color="CCD6E0" w:sz="2"/>
            </w:tcBorders>
            <w:shd w:fill="0B2A4A" w:val="clear"/>
            <w:tcMar>
              <w:top w:type="dxa" w:w="80"/>
              <w:left w:type="dxa" w:w="140"/>
              <w:bottom w:type="dxa" w:w="80"/>
              <w:right w:type="dxa" w:w="140"/>
            </w:tcMar>
          </w:tcPr>
          <w:p>
            <w:r>
              <w:rPr>
                <w:b/>
                <w:bCs/>
                <w:color w:val="FFFFFF"/>
                <w:sz w:val="20"/>
                <w:szCs w:val="20"/>
              </w:rPr>
              <w:t xml:space="preserve">Detail</w:t>
            </w:r>
          </w:p>
        </w:tc>
      </w:tr>
      <w:tr>
        <w:tc>
          <w:tcPr>
            <w:tcW w:type="dxa" w:w="2600"/>
            <w:tcBorders>
              <w:top w:val="single" w:color="CCD6E0" w:sz="2"/>
              <w:left w:val="single" w:color="CCD6E0" w:sz="2"/>
              <w:bottom w:val="single" w:color="CCD6E0" w:sz="2"/>
              <w:right w:val="single" w:color="CCD6E0" w:sz="2"/>
            </w:tcBorders>
            <w:shd w:fill="EEF3F8" w:val="clear"/>
            <w:tcMar>
              <w:top w:type="dxa" w:w="80"/>
              <w:left w:type="dxa" w:w="140"/>
              <w:bottom w:type="dxa" w:w="80"/>
              <w:right w:type="dxa" w:w="140"/>
            </w:tcMar>
          </w:tcPr>
          <w:p>
            <w:r>
              <w:rPr>
                <w:b/>
                <w:bCs/>
                <w:color w:val="0B2A4A"/>
                <w:sz w:val="20"/>
                <w:szCs w:val="20"/>
              </w:rPr>
              <w:t xml:space="preserve">Framework</w:t>
            </w:r>
          </w:p>
        </w:tc>
        <w:tc>
          <w:tcPr>
            <w:tcW w:type="dxa" w:w="6760"/>
            <w:tcBorders>
              <w:top w:val="single" w:color="CCD6E0" w:sz="2"/>
              <w:left w:val="single" w:color="CCD6E0" w:sz="2"/>
              <w:bottom w:val="single" w:color="CCD6E0" w:sz="2"/>
              <w:right w:val="single" w:color="CCD6E0" w:sz="2"/>
            </w:tcBorders>
            <w:shd w:fill="FFFFFF" w:val="clear"/>
            <w:tcMar>
              <w:top w:type="dxa" w:w="80"/>
              <w:left w:type="dxa" w:w="140"/>
              <w:bottom w:type="dxa" w:w="80"/>
              <w:right w:type="dxa" w:w="140"/>
            </w:tcMar>
          </w:tcPr>
          <w:p>
            <w:r>
              <w:rPr>
                <w:b w:val="false"/>
                <w:bCs w:val="false"/>
                <w:color w:val="222222"/>
                <w:sz w:val="20"/>
                <w:szCs w:val="20"/>
              </w:rPr>
              <w:t xml:space="preserve">Laravel 13 (PHP 8.3+)</w:t>
            </w:r>
          </w:p>
        </w:tc>
      </w:tr>
      <w:tr>
        <w:tc>
          <w:tcPr>
            <w:tcW w:type="dxa" w:w="2600"/>
            <w:tcBorders>
              <w:top w:val="single" w:color="CCD6E0" w:sz="2"/>
              <w:left w:val="single" w:color="CCD6E0" w:sz="2"/>
              <w:bottom w:val="single" w:color="CCD6E0" w:sz="2"/>
              <w:right w:val="single" w:color="CCD6E0" w:sz="2"/>
            </w:tcBorders>
            <w:shd w:fill="EEF3F8" w:val="clear"/>
            <w:tcMar>
              <w:top w:type="dxa" w:w="80"/>
              <w:left w:type="dxa" w:w="140"/>
              <w:bottom w:type="dxa" w:w="80"/>
              <w:right w:type="dxa" w:w="140"/>
            </w:tcMar>
          </w:tcPr>
          <w:p>
            <w:r>
              <w:rPr>
                <w:b/>
                <w:bCs/>
                <w:color w:val="0B2A4A"/>
                <w:sz w:val="20"/>
                <w:szCs w:val="20"/>
              </w:rPr>
              <w:t xml:space="preserve">Front end</w:t>
            </w:r>
          </w:p>
        </w:tc>
        <w:tc>
          <w:tcPr>
            <w:tcW w:type="dxa" w:w="6760"/>
            <w:tcBorders>
              <w:top w:val="single" w:color="CCD6E0" w:sz="2"/>
              <w:left w:val="single" w:color="CCD6E0" w:sz="2"/>
              <w:bottom w:val="single" w:color="CCD6E0" w:sz="2"/>
              <w:right w:val="single" w:color="CCD6E0" w:sz="2"/>
            </w:tcBorders>
            <w:shd w:fill="FFFFFF" w:val="clear"/>
            <w:tcMar>
              <w:top w:type="dxa" w:w="80"/>
              <w:left w:type="dxa" w:w="140"/>
              <w:bottom w:type="dxa" w:w="80"/>
              <w:right w:type="dxa" w:w="140"/>
            </w:tcMar>
          </w:tcPr>
          <w:p>
            <w:r>
              <w:rPr>
                <w:b w:val="false"/>
                <w:bCs w:val="false"/>
                <w:color w:val="222222"/>
                <w:sz w:val="20"/>
                <w:szCs w:val="20"/>
              </w:rPr>
              <w:t xml:space="preserve">Blade, Tailwind CSS 4, Alpine.js, Vite</w:t>
            </w:r>
          </w:p>
        </w:tc>
      </w:tr>
      <w:tr>
        <w:tc>
          <w:tcPr>
            <w:tcW w:type="dxa" w:w="2600"/>
            <w:tcBorders>
              <w:top w:val="single" w:color="CCD6E0" w:sz="2"/>
              <w:left w:val="single" w:color="CCD6E0" w:sz="2"/>
              <w:bottom w:val="single" w:color="CCD6E0" w:sz="2"/>
              <w:right w:val="single" w:color="CCD6E0" w:sz="2"/>
            </w:tcBorders>
            <w:shd w:fill="EEF3F8" w:val="clear"/>
            <w:tcMar>
              <w:top w:type="dxa" w:w="80"/>
              <w:left w:type="dxa" w:w="140"/>
              <w:bottom w:type="dxa" w:w="80"/>
              <w:right w:type="dxa" w:w="140"/>
            </w:tcMar>
          </w:tcPr>
          <w:p>
            <w:r>
              <w:rPr>
                <w:b/>
                <w:bCs/>
                <w:color w:val="0B2A4A"/>
                <w:sz w:val="20"/>
                <w:szCs w:val="20"/>
              </w:rPr>
              <w:t xml:space="preserve">Auth</w:t>
            </w:r>
          </w:p>
        </w:tc>
        <w:tc>
          <w:tcPr>
            <w:tcW w:type="dxa" w:w="6760"/>
            <w:tcBorders>
              <w:top w:val="single" w:color="CCD6E0" w:sz="2"/>
              <w:left w:val="single" w:color="CCD6E0" w:sz="2"/>
              <w:bottom w:val="single" w:color="CCD6E0" w:sz="2"/>
              <w:right w:val="single" w:color="CCD6E0" w:sz="2"/>
            </w:tcBorders>
            <w:shd w:fill="FFFFFF" w:val="clear"/>
            <w:tcMar>
              <w:top w:type="dxa" w:w="80"/>
              <w:left w:type="dxa" w:w="140"/>
              <w:bottom w:type="dxa" w:w="80"/>
              <w:right w:type="dxa" w:w="140"/>
            </w:tcMar>
          </w:tcPr>
          <w:p>
            <w:r>
              <w:rPr>
                <w:b w:val="false"/>
                <w:bCs w:val="false"/>
                <w:color w:val="222222"/>
                <w:sz w:val="20"/>
                <w:szCs w:val="20"/>
              </w:rPr>
              <w:t xml:space="preserve">Laravel Breeze (admin/staff) + custom customer portal auth</w:t>
            </w:r>
          </w:p>
        </w:tc>
      </w:tr>
      <w:tr>
        <w:tc>
          <w:tcPr>
            <w:tcW w:type="dxa" w:w="2600"/>
            <w:tcBorders>
              <w:top w:val="single" w:color="CCD6E0" w:sz="2"/>
              <w:left w:val="single" w:color="CCD6E0" w:sz="2"/>
              <w:bottom w:val="single" w:color="CCD6E0" w:sz="2"/>
              <w:right w:val="single" w:color="CCD6E0" w:sz="2"/>
            </w:tcBorders>
            <w:shd w:fill="EEF3F8" w:val="clear"/>
            <w:tcMar>
              <w:top w:type="dxa" w:w="80"/>
              <w:left w:type="dxa" w:w="140"/>
              <w:bottom w:type="dxa" w:w="80"/>
              <w:right w:type="dxa" w:w="140"/>
            </w:tcMar>
          </w:tcPr>
          <w:p>
            <w:r>
              <w:rPr>
                <w:b/>
                <w:bCs/>
                <w:color w:val="0B2A4A"/>
                <w:sz w:val="20"/>
                <w:szCs w:val="20"/>
              </w:rPr>
              <w:t xml:space="preserve">Database</w:t>
            </w:r>
          </w:p>
        </w:tc>
        <w:tc>
          <w:tcPr>
            <w:tcW w:type="dxa" w:w="6760"/>
            <w:tcBorders>
              <w:top w:val="single" w:color="CCD6E0" w:sz="2"/>
              <w:left w:val="single" w:color="CCD6E0" w:sz="2"/>
              <w:bottom w:val="single" w:color="CCD6E0" w:sz="2"/>
              <w:right w:val="single" w:color="CCD6E0" w:sz="2"/>
            </w:tcBorders>
            <w:shd w:fill="FFFFFF" w:val="clear"/>
            <w:tcMar>
              <w:top w:type="dxa" w:w="80"/>
              <w:left w:type="dxa" w:w="140"/>
              <w:bottom w:type="dxa" w:w="80"/>
              <w:right w:type="dxa" w:w="140"/>
            </w:tcMar>
          </w:tcPr>
          <w:p>
            <w:r>
              <w:rPr>
                <w:b w:val="false"/>
                <w:bCs w:val="false"/>
                <w:color w:val="222222"/>
                <w:sz w:val="20"/>
                <w:szCs w:val="20"/>
              </w:rPr>
              <w:t xml:space="preserve">SQLite out of the box; MySQL / PostgreSQL supported</w:t>
            </w:r>
          </w:p>
        </w:tc>
      </w:tr>
      <w:tr>
        <w:tc>
          <w:tcPr>
            <w:tcW w:type="dxa" w:w="2600"/>
            <w:tcBorders>
              <w:top w:val="single" w:color="CCD6E0" w:sz="2"/>
              <w:left w:val="single" w:color="CCD6E0" w:sz="2"/>
              <w:bottom w:val="single" w:color="CCD6E0" w:sz="2"/>
              <w:right w:val="single" w:color="CCD6E0" w:sz="2"/>
            </w:tcBorders>
            <w:shd w:fill="EEF3F8" w:val="clear"/>
            <w:tcMar>
              <w:top w:type="dxa" w:w="80"/>
              <w:left w:type="dxa" w:w="140"/>
              <w:bottom w:type="dxa" w:w="80"/>
              <w:right w:type="dxa" w:w="140"/>
            </w:tcMar>
          </w:tcPr>
          <w:p>
            <w:r>
              <w:rPr>
                <w:b/>
                <w:bCs/>
                <w:color w:val="0B2A4A"/>
                <w:sz w:val="20"/>
                <w:szCs w:val="20"/>
              </w:rPr>
              <w:t xml:space="preserve">Queue / Cache / Session</w:t>
            </w:r>
          </w:p>
        </w:tc>
        <w:tc>
          <w:tcPr>
            <w:tcW w:type="dxa" w:w="6760"/>
            <w:tcBorders>
              <w:top w:val="single" w:color="CCD6E0" w:sz="2"/>
              <w:left w:val="single" w:color="CCD6E0" w:sz="2"/>
              <w:bottom w:val="single" w:color="CCD6E0" w:sz="2"/>
              <w:right w:val="single" w:color="CCD6E0" w:sz="2"/>
            </w:tcBorders>
            <w:shd w:fill="FFFFFF" w:val="clear"/>
            <w:tcMar>
              <w:top w:type="dxa" w:w="80"/>
              <w:left w:type="dxa" w:w="140"/>
              <w:bottom w:type="dxa" w:w="80"/>
              <w:right w:type="dxa" w:w="140"/>
            </w:tcMar>
          </w:tcPr>
          <w:p>
            <w:r>
              <w:rPr>
                <w:b w:val="false"/>
                <w:bCs w:val="false"/>
                <w:color w:val="222222"/>
                <w:sz w:val="20"/>
                <w:szCs w:val="20"/>
              </w:rPr>
              <w:t xml:space="preserve">Database drivers (configurable)</w:t>
            </w:r>
          </w:p>
        </w:tc>
      </w:tr>
      <w:tr>
        <w:tc>
          <w:tcPr>
            <w:tcW w:type="dxa" w:w="2600"/>
            <w:tcBorders>
              <w:top w:val="single" w:color="CCD6E0" w:sz="2"/>
              <w:left w:val="single" w:color="CCD6E0" w:sz="2"/>
              <w:bottom w:val="single" w:color="CCD6E0" w:sz="2"/>
              <w:right w:val="single" w:color="CCD6E0" w:sz="2"/>
            </w:tcBorders>
            <w:shd w:fill="EEF3F8" w:val="clear"/>
            <w:tcMar>
              <w:top w:type="dxa" w:w="80"/>
              <w:left w:type="dxa" w:w="140"/>
              <w:bottom w:type="dxa" w:w="80"/>
              <w:right w:type="dxa" w:w="140"/>
            </w:tcMar>
          </w:tcPr>
          <w:p>
            <w:r>
              <w:rPr>
                <w:b/>
                <w:bCs/>
                <w:color w:val="0B2A4A"/>
                <w:sz w:val="20"/>
                <w:szCs w:val="20"/>
              </w:rPr>
              <w:t xml:space="preserve">Mail</w:t>
            </w:r>
          </w:p>
        </w:tc>
        <w:tc>
          <w:tcPr>
            <w:tcW w:type="dxa" w:w="6760"/>
            <w:tcBorders>
              <w:top w:val="single" w:color="CCD6E0" w:sz="2"/>
              <w:left w:val="single" w:color="CCD6E0" w:sz="2"/>
              <w:bottom w:val="single" w:color="CCD6E0" w:sz="2"/>
              <w:right w:val="single" w:color="CCD6E0" w:sz="2"/>
            </w:tcBorders>
            <w:shd w:fill="FFFFFF" w:val="clear"/>
            <w:tcMar>
              <w:top w:type="dxa" w:w="80"/>
              <w:left w:type="dxa" w:w="140"/>
              <w:bottom w:type="dxa" w:w="80"/>
              <w:right w:type="dxa" w:w="140"/>
            </w:tcMar>
          </w:tcPr>
          <w:p>
            <w:r>
              <w:rPr>
                <w:b w:val="false"/>
                <w:bCs w:val="false"/>
                <w:color w:val="222222"/>
                <w:sz w:val="20"/>
                <w:szCs w:val="20"/>
              </w:rPr>
              <w:t xml:space="preserve">Any SMTP provider (log driver by default)</w:t>
            </w:r>
          </w:p>
        </w:tc>
      </w:tr>
      <w:tr>
        <w:tc>
          <w:tcPr>
            <w:tcW w:type="dxa" w:w="2600"/>
            <w:tcBorders>
              <w:top w:val="single" w:color="CCD6E0" w:sz="2"/>
              <w:left w:val="single" w:color="CCD6E0" w:sz="2"/>
              <w:bottom w:val="single" w:color="CCD6E0" w:sz="2"/>
              <w:right w:val="single" w:color="CCD6E0" w:sz="2"/>
            </w:tcBorders>
            <w:shd w:fill="EEF3F8" w:val="clear"/>
            <w:tcMar>
              <w:top w:type="dxa" w:w="80"/>
              <w:left w:type="dxa" w:w="140"/>
              <w:bottom w:type="dxa" w:w="80"/>
              <w:right w:type="dxa" w:w="140"/>
            </w:tcMar>
          </w:tcPr>
          <w:p>
            <w:r>
              <w:rPr>
                <w:b/>
                <w:bCs/>
                <w:color w:val="0B2A4A"/>
                <w:sz w:val="20"/>
                <w:szCs w:val="20"/>
              </w:rPr>
              <w:t xml:space="preserve">Server</w:t>
            </w:r>
          </w:p>
        </w:tc>
        <w:tc>
          <w:tcPr>
            <w:tcW w:type="dxa" w:w="6760"/>
            <w:tcBorders>
              <w:top w:val="single" w:color="CCD6E0" w:sz="2"/>
              <w:left w:val="single" w:color="CCD6E0" w:sz="2"/>
              <w:bottom w:val="single" w:color="CCD6E0" w:sz="2"/>
              <w:right w:val="single" w:color="CCD6E0" w:sz="2"/>
            </w:tcBorders>
            <w:shd w:fill="FFFFFF" w:val="clear"/>
            <w:tcMar>
              <w:top w:type="dxa" w:w="80"/>
              <w:left w:type="dxa" w:w="140"/>
              <w:bottom w:type="dxa" w:w="80"/>
              <w:right w:type="dxa" w:w="140"/>
            </w:tcMar>
          </w:tcPr>
          <w:p>
            <w:r>
              <w:rPr>
                <w:b w:val="false"/>
                <w:bCs w:val="false"/>
                <w:color w:val="222222"/>
                <w:sz w:val="20"/>
                <w:szCs w:val="20"/>
              </w:rPr>
              <w:t xml:space="preserve">PHP 8.3+, Composer, Node.js 18+ for asset build</w:t>
            </w:r>
          </w:p>
        </w:tc>
      </w:tr>
    </w:tbl>
    <w:p>
      <w:pPr>
        <w:pStyle w:val="Heading2"/>
      </w:pPr>
      <w:r>
        <w:t xml:space="preserve">Quick Installation</w:t>
      </w:r>
    </w:p>
    <w:p>
      <w:pPr>
        <w:pStyle w:val="ListParagraph"/>
        <w:numPr>
          <w:ilvl w:val="0"/>
          <w:numId w:val="3"/>
        </w:numPr>
        <w:spacing w:after="40"/>
      </w:pPr>
      <w:r>
        <w:t xml:space="preserve">Unzip the package into your web root and run </w:t>
      </w:r>
      <w:r>
        <w:rPr>
          <w:b/>
          <w:bCs/>
        </w:rPr>
        <w:t xml:space="preserve">composer install</w:t>
      </w:r>
      <w:r>
        <w:t xml:space="preserve">.</w:t>
      </w:r>
    </w:p>
    <w:p>
      <w:pPr>
        <w:pStyle w:val="ListParagraph"/>
        <w:numPr>
          <w:ilvl w:val="0"/>
          <w:numId w:val="3"/>
        </w:numPr>
        <w:spacing w:after="40"/>
      </w:pPr>
      <w:r>
        <w:t xml:space="preserve">Copy </w:t>
      </w:r>
      <w:r>
        <w:rPr>
          <w:b/>
          <w:bCs/>
        </w:rPr>
        <w:t xml:space="preserve">.env.example</w:t>
      </w:r>
      <w:r>
        <w:t xml:space="preserve"> to </w:t>
      </w:r>
      <w:r>
        <w:rPr>
          <w:b/>
          <w:bCs/>
        </w:rPr>
        <w:t xml:space="preserve">.env</w:t>
      </w:r>
      <w:r>
        <w:t xml:space="preserve"> and run </w:t>
      </w:r>
      <w:r>
        <w:rPr>
          <w:b/>
          <w:bCs/>
        </w:rPr>
        <w:t xml:space="preserve">php artisan key:generate</w:t>
      </w:r>
      <w:r>
        <w:t xml:space="preserve">.</w:t>
      </w:r>
    </w:p>
    <w:p>
      <w:pPr>
        <w:pStyle w:val="ListParagraph"/>
        <w:numPr>
          <w:ilvl w:val="0"/>
          <w:numId w:val="3"/>
        </w:numPr>
        <w:spacing w:after="40"/>
      </w:pPr>
      <w:r>
        <w:t xml:space="preserve">Configure your database (SQLite works with zero config) and run </w:t>
      </w:r>
      <w:r>
        <w:rPr>
          <w:b/>
          <w:bCs/>
        </w:rPr>
        <w:t xml:space="preserve">php artisan migrate --seed</w:t>
      </w:r>
      <w:r>
        <w:t xml:space="preserve">.</w:t>
      </w:r>
    </w:p>
    <w:p>
      <w:pPr>
        <w:pStyle w:val="ListParagraph"/>
        <w:numPr>
          <w:ilvl w:val="0"/>
          <w:numId w:val="3"/>
        </w:numPr>
        <w:spacing w:after="40"/>
      </w:pPr>
      <w:r>
        <w:t xml:space="preserve">Run </w:t>
      </w:r>
      <w:r>
        <w:rPr>
          <w:b/>
          <w:bCs/>
        </w:rPr>
        <w:t xml:space="preserve">php artisan storage:link</w:t>
      </w:r>
      <w:r>
        <w:t xml:space="preserve"> so uploaded images are served.</w:t>
      </w:r>
    </w:p>
    <w:p>
      <w:pPr>
        <w:pStyle w:val="ListParagraph"/>
        <w:numPr>
          <w:ilvl w:val="0"/>
          <w:numId w:val="3"/>
        </w:numPr>
        <w:spacing w:after="40"/>
      </w:pPr>
      <w:r>
        <w:t xml:space="preserve">Build assets with </w:t>
      </w:r>
      <w:r>
        <w:rPr>
          <w:b/>
          <w:bCs/>
        </w:rPr>
        <w:t xml:space="preserve">npm install &amp;&amp; npm run build</w:t>
      </w:r>
      <w:r>
        <w:t xml:space="preserve">.</w:t>
      </w:r>
    </w:p>
    <w:p>
      <w:pPr>
        <w:pStyle w:val="ListParagraph"/>
        <w:numPr>
          <w:ilvl w:val="0"/>
          <w:numId w:val="3"/>
        </w:numPr>
        <w:spacing w:after="40"/>
      </w:pPr>
      <w:r>
        <w:t xml:space="preserve">Log in at </w:t>
      </w:r>
      <w:r>
        <w:rPr>
          <w:b/>
          <w:bCs/>
        </w:rPr>
        <w:t xml:space="preserve">/login</w:t>
      </w:r>
      <w:r>
        <w:t xml:space="preserve"> with the seeded admin account and start editing from Admin → Page Sections.</w:t>
      </w:r>
    </w:p>
    <w:p>
      <w:pPr>
        <w:spacing w:after="120"/>
      </w:pPr>
      <w:r>
        <w:rPr>
          <w:i/>
          <w:iCs/>
          <w:color w:val="5B6470"/>
          <w:sz w:val="18"/>
          <w:szCs w:val="18"/>
        </w:rPr>
        <w:t xml:space="preserve">Note (Windows): if image uploads do not display, recreate the storage link as a junction (mklink /J public\storage storage\app\public) or enable Developer Mode before running storage:link.</w:t>
      </w:r>
    </w:p>
    <w:p>
      <w:r>
        <w:br w:type="page"/>
      </w:r>
    </w:p>
    <w:p>
      <w:pPr>
        <w:pStyle w:val="Heading1"/>
      </w:pPr>
      <w:r>
        <w:t xml:space="preserve">7. FAQs — Nigerian Market</w:t>
      </w:r>
    </w:p>
    <w:p>
      <w:pPr>
        <w:spacing w:after="40" w:before="140"/>
      </w:pPr>
      <w:r>
        <w:rPr>
          <w:b/>
          <w:bCs/>
          <w:color w:val="2E7D32"/>
        </w:rPr>
        <w:t xml:space="preserve">Q:  </w:t>
      </w:r>
      <w:r>
        <w:rPr>
          <w:b/>
          <w:bCs/>
          <w:color w:val="0B2A4A"/>
        </w:rPr>
        <w:t xml:space="preserve">Is this built for the Nigerian agro-export market specifically?</w:t>
      </w:r>
    </w:p>
    <w:p>
      <w:pPr>
        <w:spacing w:after="120"/>
        <w:ind w:left="300"/>
      </w:pPr>
      <w:r>
        <w:rPr>
          <w:b/>
          <w:bCs/>
          <w:color w:val="5B6470"/>
        </w:rPr>
        <w:t xml:space="preserve">A:  </w:t>
      </w:r>
      <w:r>
        <w:t xml:space="preserve">Yes. The catalogue, copy, units (kg, tonne, bags, 20ft/40ft containers), ports (Apapa, Lekki, Onne) and document references (Phytosanitary, Certificate of Origin, NXP, EUR.1, SONCAP) are all geared toward Nigerian commodity export. It ships with sample commodities common to Nigeria: ginger, cashew, sesame, soybean, hibiscus (zobo) and shea.</w:t>
      </w:r>
    </w:p>
    <w:p>
      <w:pPr>
        <w:spacing w:after="40" w:before="140"/>
      </w:pPr>
      <w:r>
        <w:rPr>
          <w:b/>
          <w:bCs/>
          <w:color w:val="2E7D32"/>
        </w:rPr>
        <w:t xml:space="preserve">Q:  </w:t>
      </w:r>
      <w:r>
        <w:rPr>
          <w:b/>
          <w:bCs/>
          <w:color w:val="0B2A4A"/>
        </w:rPr>
        <w:t xml:space="preserve">Can I price in Naira and/or USD?</w:t>
      </w:r>
    </w:p>
    <w:p>
      <w:pPr>
        <w:spacing w:after="120"/>
        <w:ind w:left="300"/>
      </w:pPr>
      <w:r>
        <w:rPr>
          <w:b/>
          <w:bCs/>
          <w:color w:val="5B6470"/>
        </w:rPr>
        <w:t xml:space="preserve">A:  </w:t>
      </w:r>
      <w:r>
        <w:t xml:space="preserve">Yes. Each product has its own currency and price-per-unit field, so you can quote in USD for export buyers or NGN for local trade. Prices are optional — many exporters prefer “Request a Quote”, which is fully supported.</w:t>
      </w:r>
    </w:p>
    <w:p>
      <w:pPr>
        <w:spacing w:after="40" w:before="140"/>
      </w:pPr>
      <w:r>
        <w:rPr>
          <w:b/>
          <w:bCs/>
          <w:color w:val="2E7D32"/>
        </w:rPr>
        <w:t xml:space="preserve">Q:  </w:t>
      </w:r>
      <w:r>
        <w:rPr>
          <w:b/>
          <w:bCs/>
          <w:color w:val="0B2A4A"/>
        </w:rPr>
        <w:t xml:space="preserve">Do buyers pay online, or is it a quote/inquiry model?</w:t>
      </w:r>
    </w:p>
    <w:p>
      <w:pPr>
        <w:spacing w:after="120"/>
        <w:ind w:left="300"/>
      </w:pPr>
      <w:r>
        <w:rPr>
          <w:b/>
          <w:bCs/>
          <w:color w:val="5B6470"/>
        </w:rPr>
        <w:t xml:space="preserve">A:  </w:t>
      </w:r>
      <w:r>
        <w:t xml:space="preserve">Out of the box it uses a quote/inquiry model (no card payment) — which matches how most Nigerian bulk-commodity deals are negotiated (proforma invoice, LC, TT). A payment gateway (e.g. Paystack/Flutterwave) can be integrated on request.</w:t>
      </w:r>
    </w:p>
    <w:p>
      <w:pPr>
        <w:spacing w:after="40" w:before="140"/>
      </w:pPr>
      <w:r>
        <w:rPr>
          <w:b/>
          <w:bCs/>
          <w:color w:val="2E7D32"/>
        </w:rPr>
        <w:t xml:space="preserve">Q:  </w:t>
      </w:r>
      <w:r>
        <w:rPr>
          <w:b/>
          <w:bCs/>
          <w:color w:val="0B2A4A"/>
        </w:rPr>
        <w:t xml:space="preserve">Will it work on slow connections / low-end devices common in Nigeria?</w:t>
      </w:r>
    </w:p>
    <w:p>
      <w:pPr>
        <w:spacing w:after="120"/>
        <w:ind w:left="300"/>
      </w:pPr>
      <w:r>
        <w:rPr>
          <w:b/>
          <w:bCs/>
          <w:color w:val="5B6470"/>
        </w:rPr>
        <w:t xml:space="preserve">A:  </w:t>
      </w:r>
      <w:r>
        <w:t xml:space="preserve">Yes. Assets are compiled and compressed (gzip), images are optimised, and the UI is lightweight (Tailwind + Alpine, no heavy framework). Pages render fast even on 3G.</w:t>
      </w:r>
    </w:p>
    <w:p>
      <w:pPr>
        <w:spacing w:after="40" w:before="140"/>
      </w:pPr>
      <w:r>
        <w:rPr>
          <w:b/>
          <w:bCs/>
          <w:color w:val="2E7D32"/>
        </w:rPr>
        <w:t xml:space="preserve">Q:  </w:t>
      </w:r>
      <w:r>
        <w:rPr>
          <w:b/>
          <w:bCs/>
          <w:color w:val="0B2A4A"/>
        </w:rPr>
        <w:t xml:space="preserve">Can I run it on shared hosting (cPanel)?</w:t>
      </w:r>
    </w:p>
    <w:p>
      <w:pPr>
        <w:spacing w:after="120"/>
        <w:ind w:left="300"/>
      </w:pPr>
      <w:r>
        <w:rPr>
          <w:b/>
          <w:bCs/>
          <w:color w:val="5B6470"/>
        </w:rPr>
        <w:t xml:space="preserve">A:  </w:t>
      </w:r>
      <w:r>
        <w:t xml:space="preserve">Yes. It runs on standard PHP 8.3 shared hosting. SQLite needs no database server; for MySQL just point the .env to your cPanel database. Build the assets locally and upload the compiled files.</w:t>
      </w:r>
    </w:p>
    <w:p>
      <w:pPr>
        <w:spacing w:after="40" w:before="140"/>
      </w:pPr>
      <w:r>
        <w:rPr>
          <w:b/>
          <w:bCs/>
          <w:color w:val="2E7D32"/>
        </w:rPr>
        <w:t xml:space="preserve">Q:  </w:t>
      </w:r>
      <w:r>
        <w:rPr>
          <w:b/>
          <w:bCs/>
          <w:color w:val="0B2A4A"/>
        </w:rPr>
        <w:t xml:space="preserve">How do I change the commodities, prices and specifications?</w:t>
      </w:r>
    </w:p>
    <w:p>
      <w:pPr>
        <w:spacing w:after="120"/>
        <w:ind w:left="300"/>
      </w:pPr>
      <w:r>
        <w:rPr>
          <w:b/>
          <w:bCs/>
          <w:color w:val="5B6470"/>
        </w:rPr>
        <w:t xml:space="preserve">A:  </w:t>
      </w:r>
      <w:r>
        <w:t xml:space="preserve">From Admin → Products. Add unlimited products with images, specs (oil content, moisture, purity, etc.), grade, origin, allowed units and minimum order quantity. They appear automatically on the homepage and marketplace.</w:t>
      </w:r>
    </w:p>
    <w:p>
      <w:pPr>
        <w:spacing w:after="40" w:before="140"/>
      </w:pPr>
      <w:r>
        <w:rPr>
          <w:b/>
          <w:bCs/>
          <w:color w:val="2E7D32"/>
        </w:rPr>
        <w:t xml:space="preserve">Q:  </w:t>
      </w:r>
      <w:r>
        <w:rPr>
          <w:b/>
          <w:bCs/>
          <w:color w:val="0B2A4A"/>
        </w:rPr>
        <w:t xml:space="preserve">Can I edit every page myself without a developer?</w:t>
      </w:r>
    </w:p>
    <w:p>
      <w:pPr>
        <w:spacing w:after="120"/>
        <w:ind w:left="300"/>
      </w:pPr>
      <w:r>
        <w:rPr>
          <w:b/>
          <w:bCs/>
          <w:color w:val="5B6470"/>
        </w:rPr>
        <w:t xml:space="preserve">A:  </w:t>
      </w:r>
      <w:r>
        <w:t xml:space="preserve">Yes — that is the core design. Admin → Page Sections lets you edit text, images, stats, cards, icons, colours and buttons on every page, and reorder or hide sections. Hero banners are managed in the Hero area with image upload and multiple slides.</w:t>
      </w:r>
    </w:p>
    <w:p>
      <w:pPr>
        <w:spacing w:after="40" w:before="140"/>
      </w:pPr>
      <w:r>
        <w:rPr>
          <w:b/>
          <w:bCs/>
          <w:color w:val="2E7D32"/>
        </w:rPr>
        <w:t xml:space="preserve">Q:  </w:t>
      </w:r>
      <w:r>
        <w:rPr>
          <w:b/>
          <w:bCs/>
          <w:color w:val="0B2A4A"/>
        </w:rPr>
        <w:t xml:space="preserve">Does it support multiple languages?</w:t>
      </w:r>
    </w:p>
    <w:p>
      <w:pPr>
        <w:spacing w:after="120"/>
        <w:ind w:left="300"/>
      </w:pPr>
      <w:r>
        <w:rPr>
          <w:b/>
          <w:bCs/>
          <w:color w:val="5B6470"/>
        </w:rPr>
        <w:t xml:space="preserve">A:  </w:t>
      </w:r>
      <w:r>
        <w:t xml:space="preserve">Yes — English and French are included with a one-click locale switch, and a fallback locale. Additional languages can be added via Laravel’s standard translation files.</w:t>
      </w:r>
    </w:p>
    <w:p>
      <w:pPr>
        <w:spacing w:after="40" w:before="140"/>
      </w:pPr>
      <w:r>
        <w:rPr>
          <w:b/>
          <w:bCs/>
          <w:color w:val="2E7D32"/>
        </w:rPr>
        <w:t xml:space="preserve">Q:  </w:t>
      </w:r>
      <w:r>
        <w:rPr>
          <w:b/>
          <w:bCs/>
          <w:color w:val="0B2A4A"/>
        </w:rPr>
        <w:t xml:space="preserve">How are buyer inquiries handled?</w:t>
      </w:r>
    </w:p>
    <w:p>
      <w:pPr>
        <w:spacing w:after="120"/>
        <w:ind w:left="300"/>
      </w:pPr>
      <w:r>
        <w:rPr>
          <w:b/>
          <w:bCs/>
          <w:color w:val="5B6470"/>
        </w:rPr>
        <w:t xml:space="preserve">A:  </w:t>
      </w:r>
      <w:r>
        <w:t xml:space="preserve">Every product inquiry and contact submission creates an in-app admin notification (and an email if SMTP is set). Admins review inquiries, respond, and convert them into tracked orders that customers follow in their portal.</w:t>
      </w:r>
    </w:p>
    <w:p>
      <w:pPr>
        <w:spacing w:after="40" w:before="140"/>
      </w:pPr>
      <w:r>
        <w:rPr>
          <w:b/>
          <w:bCs/>
          <w:color w:val="2E7D32"/>
        </w:rPr>
        <w:t xml:space="preserve">Q:  </w:t>
      </w:r>
      <w:r>
        <w:rPr>
          <w:b/>
          <w:bCs/>
          <w:color w:val="0B2A4A"/>
        </w:rPr>
        <w:t xml:space="preserve">Is it SEO-ready for Google?</w:t>
      </w:r>
    </w:p>
    <w:p>
      <w:pPr>
        <w:spacing w:after="120"/>
        <w:ind w:left="300"/>
      </w:pPr>
      <w:r>
        <w:rPr>
          <w:b/>
          <w:bCs/>
          <w:color w:val="5B6470"/>
        </w:rPr>
        <w:t xml:space="preserve">A:  </w:t>
      </w:r>
      <w:r>
        <w:t xml:space="preserve">Yes. Each page has editable SEO meta (title, description), clean slugs, semantic headings and fast load times. A blog is included to publish market insights and rank for commodity keywords.</w:t>
      </w:r>
    </w:p>
    <w:p>
      <w:pPr>
        <w:spacing w:after="40" w:before="140"/>
      </w:pPr>
      <w:r>
        <w:rPr>
          <w:b/>
          <w:bCs/>
          <w:color w:val="2E7D32"/>
        </w:rPr>
        <w:t xml:space="preserve">Q:  </w:t>
      </w:r>
      <w:r>
        <w:rPr>
          <w:b/>
          <w:bCs/>
          <w:color w:val="0B2A4A"/>
        </w:rPr>
        <w:t xml:space="preserve">Can I use my own branding (logo, colours, company name)?</w:t>
      </w:r>
    </w:p>
    <w:p>
      <w:pPr>
        <w:spacing w:after="120"/>
        <w:ind w:left="300"/>
      </w:pPr>
      <w:r>
        <w:rPr>
          <w:b/>
          <w:bCs/>
          <w:color w:val="5B6470"/>
        </w:rPr>
        <w:t xml:space="preserve">A:  </w:t>
      </w:r>
      <w:r>
        <w:t xml:space="preserve">Yes. Admin → Settings controls the company name, logo upload, brand colours, contact details and social links across the whole site, including the login and footer.</w:t>
      </w:r>
    </w:p>
    <w:p>
      <w:pPr>
        <w:spacing w:after="40" w:before="140"/>
      </w:pPr>
      <w:r>
        <w:rPr>
          <w:b/>
          <w:bCs/>
          <w:color w:val="2E7D32"/>
        </w:rPr>
        <w:t xml:space="preserve">Q:  </w:t>
      </w:r>
      <w:r>
        <w:rPr>
          <w:b/>
          <w:bCs/>
          <w:color w:val="0B2A4A"/>
        </w:rPr>
        <w:t xml:space="preserve">Is the source code clean and reusable for other clients?</w:t>
      </w:r>
    </w:p>
    <w:p>
      <w:pPr>
        <w:spacing w:after="120"/>
        <w:ind w:left="300"/>
      </w:pPr>
      <w:r>
        <w:rPr>
          <w:b/>
          <w:bCs/>
          <w:color w:val="5B6470"/>
        </w:rPr>
        <w:t xml:space="preserve">A:  </w:t>
      </w:r>
      <w:r>
        <w:t xml:space="preserve">Yes. It is a standard, conventional Laravel codebase (controllers, Eloquent models, Blade views, migrations, seeders) — easy to rebrand, extend and resell.</w:t>
      </w:r>
    </w:p>
    <w:p>
      <w:r>
        <w:br w:type="page"/>
      </w:r>
    </w:p>
    <w:p>
      <w:pPr>
        <w:pStyle w:val="Heading1"/>
      </w:pPr>
      <w:r>
        <w:t xml:space="preserve">8. Support &amp; Credits</w:t>
      </w:r>
    </w:p>
    <w:p>
      <w:pPr>
        <w:spacing w:after="120"/>
      </w:pPr>
      <w:r>
        <w:t xml:space="preserve">This documentation accompanies the Ibrasal Invest platform, designed and developed by SENUX Media.</w:t>
      </w:r>
    </w:p>
    <w:p>
      <w:pPr>
        <w:spacing w:after="120"/>
      </w:pPr>
      <w:r>
        <w:t xml:space="preserve">For customisation, integrations (payment gateways, additional languages, custom commodities, ERP extensions) or any enquiry, contact SENUX support: </w:t>
      </w:r>
      <w:hyperlink w:history="1" r:id="rIdzlcue9-auzdinkpti_2_2">
        <w:r>
          <w:rPr>
            <w:rStyle w:val="Hyperlink"/>
            <w:b/>
            <w:bCs/>
          </w:rPr>
          <w:t xml:space="preserve">business@senux.xyz</w:t>
        </w:r>
      </w:hyperlink>
    </w:p>
    <w:tbl>
      <w:tblPr>
        <w:tblW w:type="dxa" w:w="9360"/>
        <w:tblBorders>
          <w:top w:val="single" w:color="auto" w:sz="4"/>
          <w:left w:val="single" w:color="auto" w:sz="4"/>
          <w:bottom w:val="single" w:color="auto" w:sz="4"/>
          <w:right w:val="single" w:color="auto" w:sz="4"/>
          <w:insideH w:val="single" w:color="auto" w:sz="4"/>
          <w:insideV w:val="single" w:color="auto" w:sz="4"/>
        </w:tblBorders>
      </w:tblPr>
      <w:tblGrid>
        <w:gridCol w:w="9360"/>
      </w:tblGrid>
      <w:tr>
        <w:tc>
          <w:tcPr>
            <w:tcW w:type="dxa" w:w="9360"/>
            <w:tcBorders>
              <w:top w:val="single" w:color="CCD6E0" w:sz="2"/>
              <w:left w:val="single" w:color="CCD6E0" w:sz="2"/>
              <w:bottom w:val="single" w:color="CCD6E0" w:sz="2"/>
              <w:right w:val="single" w:color="CCD6E0" w:sz="2"/>
            </w:tcBorders>
            <w:shd w:fill="0B2A4A" w:val="clear"/>
            <w:tcMar>
              <w:top w:type="dxa" w:w="200"/>
              <w:left w:type="dxa" w:w="200"/>
              <w:bottom w:type="dxa" w:w="200"/>
              <w:right w:type="dxa" w:w="200"/>
            </w:tcMar>
          </w:tcPr>
          <w:p>
            <w:pPr>
              <w:jc w:val="center"/>
            </w:pPr>
            <w:r>
              <w:rPr>
                <w:b/>
                <w:bCs/>
                <w:color w:val="FFFFFF"/>
                <w:sz w:val="28"/>
                <w:szCs w:val="28"/>
              </w:rPr>
              <w:t xml:space="preserve">Built by SENUX Media</w:t>
            </w:r>
          </w:p>
          <w:p>
            <w:pPr>
              <w:spacing w:before="80"/>
              <w:jc w:val="center"/>
            </w:pPr>
            <w:r>
              <w:rPr>
                <w:color w:val="D6E4F0"/>
                <w:sz w:val="20"/>
                <w:szCs w:val="20"/>
              </w:rPr>
              <w:t xml:space="preserve">Customisation &amp; enquiries  ·  </w:t>
            </w:r>
            <w:hyperlink w:history="1" r:id="rIde4w81o0km-xbu4uaho2h8">
              <w:r>
                <w:rPr>
                  <w:b/>
                  <w:bCs/>
                  <w:color w:val="FFFFFF"/>
                  <w:sz w:val="20"/>
                  <w:szCs w:val="20"/>
                  <w:u w:val="single"/>
                </w:rPr>
                <w:t xml:space="preserve">business@senux.xyz</w:t>
              </w:r>
            </w:hyperlink>
          </w:p>
        </w:tc>
      </w:tr>
    </w:tbl>
    <w:p>
      <w:pPr>
        <w:spacing w:before="200"/>
      </w:pPr>
      <w:r>
        <w:rPr>
          <w:b/>
          <w:bCs/>
          <w:color w:val="0B2A4A"/>
        </w:rPr>
        <w:t xml:space="preserve">Thank you for choosing Ibrasal Invest.</w:t>
      </w:r>
    </w:p>
    <w:sectPr>
      <w:footerReference w:type="default" r:id="rId7"/>
      <w:pgSz w:w="12240" w:h="15840" w:orient="portrait"/>
      <w:pgMar w:top="1280" w:right="1440" w:bottom="1280" w:left="1440" w:header="708" w:footer="708" w:gutter="0"/>
      <w:pgNumType/>
      <w:docGrid w:linePitch="360"/>
    </w:sectPr>
  </w:body>
</w:document>
</file>

<file path=word/comments.xml><?xml version="1.0" encoding="utf-8"?>
<w:comment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pPr>
        <w:spacing w:after="0" w:line="240" w:lineRule="auto"/>
      </w:pPr>
      <w:r>
        <w:rPr>
          <w:rStyle w:val="EndnoteReference"/>
        </w:rPr>
        <w:endnoteRef/>
      </w:r>
      <w:r>
        <w:separator/>
      </w:r>
    </w:p>
  </w:endnote>
  <w:endnote w:type="continuationSeparator" w:id="0">
    <w:p>
      <w:pPr>
        <w:spacing w:after="0" w:line="240" w:lineRule="auto"/>
      </w:pPr>
      <w:r>
        <w:rPr>
          <w:rStyle w:val="EndnoteReference"/>
        </w:rPr>
        <w:endnoteRef/>
      </w: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w:p>
    <w:pPr>
      <w:pBdr>
        <w:top w:val="single" w:color="CCD6E0" w:sz="4" w:space="6"/>
      </w:pBdr>
      <w:jc w:val="center"/>
    </w:pPr>
    <w:r>
      <w:rPr>
        <w:color w:val="5B6470"/>
        <w:sz w:val="16"/>
        <w:szCs w:val="16"/>
      </w:rPr>
      <w:t xml:space="preserve">Ibrasal Invest — Product Documentation   ·   by SENUX Media   ·   Page </w:t>
    </w:r>
    <w:r>
      <w:rPr>
        <w:color w:val="5B6470"/>
        <w:sz w:val="16"/>
        <w:szCs w:val="16"/>
      </w:rPr>
      <w:fldChar w:fldCharType="begin"/>
      <w:instrText xml:space="preserve">PAGE</w:instrText>
      <w:fldChar w:fldCharType="separate"/>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pPr>
        <w:spacing w:after="0" w:line="240" w:lineRule="auto"/>
      </w:pPr>
      <w:r>
        <w:rPr>
          <w:rStyle w:val="FootnoteReference"/>
        </w:rPr>
        <w:footnoteRef/>
      </w:r>
      <w:r>
        <w:separator/>
      </w:r>
    </w:p>
  </w:footnote>
  <w:footnote w:type="continuationSeparator" w:id="0">
    <w:p>
      <w:pPr>
        <w:spacing w:after="0" w:line="240" w:lineRule="auto"/>
      </w:pPr>
      <w:r>
        <w:rPr>
          <w:rStyle w:val="FootnoteReference"/>
        </w:rPr>
        <w:footnoteRef/>
      </w:r>
      <w:r>
        <w:continuationSeparator/>
      </w:r>
    </w:p>
  </w:footnote>
  <w:footnote w:id="1">
    <w:p>
      <w:r>
        <w:rPr>
          <w:rStyle w:val="FootnoteReference"/>
        </w:rPr>
        <w:footnoteRef/>
      </w:r>
      <w:r>
        <w:t xml:space="preserve">Built by SENUX Media. For customization and enquiries, contact SENUX support: </w:t>
      </w:r>
      <w:hyperlink w:history="1" r:id="rIddidcps8dt1uvjwkkv2t5l">
        <w:r>
          <w:rPr>
            <w:rStyle w:val="Hyperlink"/>
          </w:rPr>
          <w:t xml:space="preserve">business@senux.xyz</w:t>
        </w:r>
      </w:hyperlink>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 w15:restartNumberingAfterBreak="0">
    <w:multiLevelType w:val="hybridMultilevel"/>
    <w:lvl w:ilvl="0" w15:tentative="1">
      <w:start w:val="1"/>
      <w:numFmt w:val="bullet"/>
      <w:lvlText w:val="●"/>
      <w:lvlJc w:val="left"/>
      <w:pPr>
        <w:ind w:left="720" w:hanging="360"/>
      </w:pPr>
    </w:lvl>
    <w:lvl w:ilvl="1" w15:tentative="1">
      <w:start w:val="1"/>
      <w:numFmt w:val="bullet"/>
      <w:lvlText w:val="○"/>
      <w:lvlJc w:val="left"/>
      <w:pPr>
        <w:ind w:left="1440" w:hanging="360"/>
      </w:pPr>
    </w:lvl>
    <w:lvl w:ilvl="2" w15:tentative="1">
      <w:start w:val="1"/>
      <w:numFmt w:val="bullet"/>
      <w:lvlText w:val="■"/>
      <w:lvlJc w:val="left"/>
      <w:pPr>
        <w:ind w:left="2160" w:hanging="360"/>
      </w:pPr>
    </w:lvl>
    <w:lvl w:ilvl="3" w15:tentative="1">
      <w:start w:val="1"/>
      <w:numFmt w:val="bullet"/>
      <w:lvlText w:val="●"/>
      <w:lvlJc w:val="left"/>
      <w:pPr>
        <w:ind w:left="2880" w:hanging="360"/>
      </w:pPr>
    </w:lvl>
    <w:lvl w:ilvl="4" w15:tentative="1">
      <w:start w:val="1"/>
      <w:numFmt w:val="bullet"/>
      <w:lvlText w:val="○"/>
      <w:lvlJc w:val="left"/>
      <w:pPr>
        <w:ind w:left="3600" w:hanging="360"/>
      </w:pPr>
    </w:lvl>
    <w:lvl w:ilvl="5" w15:tentative="1">
      <w:start w:val="1"/>
      <w:numFmt w:val="bullet"/>
      <w:lvlText w:val="■"/>
      <w:lvlJc w:val="left"/>
      <w:pPr>
        <w:ind w:left="4320" w:hanging="360"/>
      </w:pPr>
    </w:lvl>
    <w:lvl w:ilvl="6" w15:tentative="1">
      <w:start w:val="1"/>
      <w:numFmt w:val="bullet"/>
      <w:lvlText w:val="●"/>
      <w:lvlJc w:val="left"/>
      <w:pPr>
        <w:ind w:left="5040" w:hanging="360"/>
      </w:pPr>
    </w:lvl>
    <w:lvl w:ilvl="7" w15:tentative="1">
      <w:start w:val="1"/>
      <w:numFmt w:val="bullet"/>
      <w:lvlText w:val="●"/>
      <w:lvlJc w:val="left"/>
      <w:pPr>
        <w:ind w:left="5760" w:hanging="360"/>
      </w:pPr>
    </w:lvl>
    <w:lvl w:ilvl="8" w15:tentative="1">
      <w:start w:val="1"/>
      <w:numFmt w:val="bullet"/>
      <w:lvlText w:val="●"/>
      <w:lvlJc w:val="left"/>
      <w:pPr>
        <w:ind w:left="6480" w:hanging="360"/>
      </w:pPr>
    </w:lvl>
  </w:abstractNum>
  <w:abstractNum w:abstractNumId="2" w15:restartNumberingAfterBreak="0">
    <w:multiLevelType w:val="hybridMultilevel"/>
    <w:lvl w:ilvl="0" w15:tentative="1">
      <w:start w:val="1"/>
      <w:numFmt w:val="bullet"/>
      <w:lvlText w:val="•"/>
      <w:lvlJc w:val="left"/>
      <w:pPr>
        <w:ind w:left="520" w:hanging="280"/>
      </w:pPr>
    </w:lvl>
    <w:lvl w:ilvl="1" w15:tentative="1">
      <w:start w:val="1"/>
      <w:numFmt w:val="bullet"/>
      <w:lvlText w:val="◦"/>
      <w:lvlJc w:val="left"/>
      <w:pPr>
        <w:ind w:left="1040" w:hanging="280"/>
      </w:pPr>
    </w:lvl>
  </w:abstractNum>
  <w:abstractNum w:abstractNumId="3" w15:restartNumberingAfterBreak="0">
    <w:multiLevelType w:val="hybridMultilevel"/>
    <w:lvl w:ilvl="0" w15:tentative="1">
      <w:start w:val="1"/>
      <w:numFmt w:val="decimal"/>
      <w:lvlText w:val="%1."/>
      <w:lvlJc w:val="left"/>
      <w:pPr>
        <w:ind w:left="520" w:hanging="280"/>
      </w:pPr>
    </w:lvl>
  </w:abstractNum>
  <w:num w:numId="1">
    <w:abstractNumId w:val="1"/>
    <w:lvlOverride w:ilvl="0">
      <w:startOverride w:val="1"/>
    </w:lvlOverride>
  </w:num>
  <w:num w:numId="2">
    <w:abstractNumId w:val="2"/>
    <w:lvlOverride w:ilvl="0">
      <w:startOverride w:val="1"/>
    </w:lvlOverride>
  </w:num>
  <w:num w:numId="3">
    <w:abstractNumId w:val="3"/>
    <w:lvlOverride w:ilvl="0">
      <w:startOverride w:val="1"/>
    </w:lvlOverride>
  </w:num>
</w:numbering>
</file>

<file path=word/settings.xml><?xml version="1.0" encoding="utf-8"?>
<w:setting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isplayBackgroundShape/>
  <w:evenAndOddHeaders w:val="false"/>
  <w:compat>
    <w:compatSetting w:val="15" w:name="compatibilityMode" w:uri="http://schemas.microsoft.com/office/word"/>
  </w:compat>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cs="Arial" w:eastAsia="Arial" w:hAnsi="Arial"/>
        <w:color w:val="222222"/>
        <w:sz w:val="21"/>
        <w:szCs w:val="21"/>
      </w:rPr>
    </w:rPrDefault>
    <w:pPrDefault/>
  </w:docDefaults>
  <w:style w:type="paragraph" w:styleId="Title">
    <w:name w:val="Title"/>
    <w:basedOn w:val="Normal"/>
    <w:next w:val="Normal"/>
    <w:qFormat/>
    <w:rPr>
      <w:sz w:val="56"/>
      <w:szCs w:val="56"/>
    </w:rPr>
  </w:style>
  <w:style w:type="paragraph" w:styleId="Heading1">
    <w:name w:val="Heading 1"/>
    <w:basedOn w:val="Normal"/>
    <w:next w:val="Normal"/>
    <w:qFormat/>
    <w:rPr>
      <w:color w:val="2E74B5"/>
      <w:sz w:val="32"/>
      <w:szCs w:val="32"/>
    </w:rPr>
  </w:style>
  <w:style w:type="paragraph" w:styleId="Heading2">
    <w:name w:val="Heading 2"/>
    <w:basedOn w:val="Normal"/>
    <w:next w:val="Normal"/>
    <w:qFormat/>
    <w:rPr>
      <w:color w:val="2E74B5"/>
      <w:sz w:val="26"/>
      <w:szCs w:val="26"/>
    </w:rPr>
  </w:style>
  <w:style w:type="paragraph" w:styleId="Heading3">
    <w:name w:val="Heading 3"/>
    <w:basedOn w:val="Normal"/>
    <w:next w:val="Normal"/>
    <w:qFormat/>
    <w:rPr>
      <w:color w:val="1F4D78"/>
      <w:sz w:val="24"/>
      <w:szCs w:val="24"/>
    </w:rPr>
  </w:style>
  <w:style w:type="paragraph" w:styleId="Heading4">
    <w:name w:val="Heading 4"/>
    <w:basedOn w:val="Normal"/>
    <w:next w:val="Normal"/>
    <w:qFormat/>
    <w:rPr>
      <w:i/>
      <w:iCs/>
      <w:color w:val="2E74B5"/>
    </w:rPr>
  </w:style>
  <w:style w:type="paragraph" w:styleId="Heading5">
    <w:name w:val="Heading 5"/>
    <w:basedOn w:val="Normal"/>
    <w:next w:val="Normal"/>
    <w:qFormat/>
    <w:rPr>
      <w:color w:val="2E74B5"/>
    </w:rPr>
  </w:style>
  <w:style w:type="paragraph" w:styleId="Heading6">
    <w:name w:val="Heading 6"/>
    <w:basedOn w:val="Normal"/>
    <w:next w:val="Normal"/>
    <w:qFormat/>
    <w:rPr>
      <w:color w:val="1F4D78"/>
    </w:rPr>
  </w:style>
  <w:style w:type="paragraph" w:styleId="Strong">
    <w:name w:val="Strong"/>
    <w:basedOn w:val="Normal"/>
    <w:next w:val="Normal"/>
    <w:qFormat/>
    <w:rPr>
      <w:b/>
      <w:bCs/>
    </w:rPr>
  </w:style>
  <w:style w:type="paragraph" w:styleId="ListParagraph">
    <w:name w:val="List Paragraph"/>
    <w:basedOn w:val="Normal"/>
    <w:qFormat/>
  </w:style>
  <w:style w:type="character" w:styleId="Hyperlink">
    <w:name w:val="Hyperlink"/>
    <w:basedOn w:val="DefaultParagraphFont"/>
    <w:uiPriority w:val="99"/>
    <w:unhideWhenUsed/>
    <w:rPr>
      <w:color w:val="0563C1"/>
      <w:u w:val="single"/>
    </w:r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after="0" w:line="240" w:lineRule="auto"/>
    </w:pPr>
    <w:rPr>
      <w:sz w:val="20"/>
      <w:szCs w:val="20"/>
    </w:rPr>
  </w:style>
  <w:style w:type="character" w:styleId="FootnoteTextChar">
    <w:name w:val="Footnote Text Char"/>
    <w:basedOn w:val="DefaultParagraphFont"/>
    <w:link w:val="FootnoteText"/>
    <w:uiPriority w:val="99"/>
    <w:semiHidden/>
    <w:unhideWhenUsed/>
    <w:rPr>
      <w:sz w:val="20"/>
      <w:szCs w:val="20"/>
    </w:rPr>
  </w:style>
  <w:style w:type="character" w:styleId="EndnoteReference">
    <w:name w:val="endnote reference"/>
    <w:basedOn w:val="DefaultParagraphFont"/>
    <w:uiPriority w:val="99"/>
    <w:semiHidden/>
    <w:unhideWhenUsed/>
    <w:rPr>
      <w:vertAlign w:val="superscript"/>
    </w:rPr>
  </w:style>
  <w:style w:type="paragraph" w:styleId="EndnoteText">
    <w:name w:val="endnote text"/>
    <w:basedOn w:val="Normal"/>
    <w:link w:val="EndnoteTextChar"/>
    <w:uiPriority w:val="99"/>
    <w:semiHidden/>
    <w:unhideWhenUsed/>
    <w:pPr>
      <w:spacing w:after="0" w:line="240" w:lineRule="auto"/>
    </w:pPr>
    <w:rPr>
      <w:sz w:val="20"/>
      <w:szCs w:val="20"/>
    </w:rPr>
  </w:style>
  <w:style w:type="character" w:styleId="EndnoteTextChar">
    <w:name w:val="Endnote Text Char"/>
    <w:basedOn w:val="DefaultParagraphFont"/>
    <w:link w:val="EndnoteText"/>
    <w:uiPriority w:val="99"/>
    <w:semiHidden/>
    <w:unhideWhenUsed/>
    <w:rPr>
      <w:sz w:val="20"/>
      <w:szCs w:val="20"/>
    </w:rPr>
  </w:style>
  <w:style w:type="paragraph" w:styleId="Heading1">
    <w:name w:val="Heading 1"/>
    <w:basedOn w:val="Normal"/>
    <w:next w:val="Normal"/>
    <w:qFormat/>
    <w:pPr>
      <w:pBdr>
        <w:bottom w:val="single" w:color="2E7D32" w:sz="8" w:space="6"/>
      </w:pBdr>
      <w:spacing w:after="160" w:before="320"/>
      <w:outlineLvl w:val="0"/>
    </w:pPr>
    <w:rPr>
      <w:rFonts w:ascii="Arial" w:cs="Arial" w:eastAsia="Arial" w:hAnsi="Arial"/>
      <w:b/>
      <w:bCs/>
      <w:color w:val="0B2A4A"/>
      <w:sz w:val="34"/>
      <w:szCs w:val="34"/>
    </w:rPr>
  </w:style>
  <w:style w:type="paragraph" w:styleId="Heading2">
    <w:name w:val="Heading 2"/>
    <w:basedOn w:val="Normal"/>
    <w:next w:val="Normal"/>
    <w:qFormat/>
    <w:pPr>
      <w:spacing w:after="120" w:before="240"/>
      <w:outlineLvl w:val="1"/>
    </w:pPr>
    <w:rPr>
      <w:rFonts w:ascii="Arial" w:cs="Arial" w:eastAsia="Arial" w:hAnsi="Arial"/>
      <w:b/>
      <w:bCs/>
      <w:color w:val="0B2A4A"/>
      <w:sz w:val="27"/>
      <w:szCs w:val="27"/>
    </w:rPr>
  </w:style>
  <w:style w:type="paragraph" w:styleId="Heading3">
    <w:name w:val="Heading 3"/>
    <w:basedOn w:val="Normal"/>
    <w:next w:val="Normal"/>
    <w:qFormat/>
    <w:pPr>
      <w:spacing w:after="80" w:before="180"/>
      <w:outlineLvl w:val="2"/>
    </w:pPr>
    <w:rPr>
      <w:rFonts w:ascii="Arial" w:cs="Arial" w:eastAsia="Arial" w:hAnsi="Arial"/>
      <w:b/>
      <w:bCs/>
      <w:color w:val="2E7D32"/>
      <w:sz w:val="23"/>
      <w:szCs w:val="23"/>
    </w:rPr>
  </w:style>
</w:styles>
</file>

<file path=word/_rels/comments.xml.rels><?xml version="1.0" encoding="UTF-8"?><Relationships xmlns="http://schemas.openxmlformats.org/package/2006/relationships"/>
</file>

<file path=word/_rels/document.xml.rels><?xml version="1.0" encoding="UTF-8"?><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footnotes" Target="footnotes.xml"/><Relationship Id="rId4" Type="http://schemas.openxmlformats.org/officeDocument/2006/relationships/endnotes" Target="endnotes.xml"/><Relationship Id="rId5" Type="http://schemas.openxmlformats.org/officeDocument/2006/relationships/settings" Target="settings.xml"/><Relationship Id="rId6" Type="http://schemas.openxmlformats.org/officeDocument/2006/relationships/comments" Target="comments.xml"/><Relationship Id="rId7" Type="http://schemas.openxmlformats.org/officeDocument/2006/relationships/footer" Target="footer1.xml"/><Relationship Id="rIdzlcue9-auzdinkpti_2_2" Type="http://schemas.openxmlformats.org/officeDocument/2006/relationships/hyperlink" Target="mailto:business@senux.xyz" TargetMode="External"/><Relationship Id="rIde4w81o0km-xbu4uaho2h8" Type="http://schemas.openxmlformats.org/officeDocument/2006/relationships/hyperlink" Target="mailto:business@senux.xyz" TargetMode="External"/><Relationship Id="rId8" Type="http://schemas.openxmlformats.org/officeDocument/2006/relationships/image" Target="media/870f512d301d7f618ceeb2a75aa7f75414e52459.png"/><Relationship Id="rId9" Type="http://schemas.openxmlformats.org/officeDocument/2006/relationships/image" Target="media/5c801eb2b627fe4e2144be95295020abf113c25f.png"/><Relationship Id="rId10" Type="http://schemas.openxmlformats.org/officeDocument/2006/relationships/image" Target="media/31c40f6eee76396785a87f08587de124161c2cab.png"/><Relationship Id="rId11" Type="http://schemas.openxmlformats.org/officeDocument/2006/relationships/image" Target="media/a9915a5c328872e674de710ba036d3fa954b6e3e.png"/><Relationship Id="rId12" Type="http://schemas.openxmlformats.org/officeDocument/2006/relationships/image" Target="media/e1996d8456bd05d44a8f829ccce288d32a28ac48.png"/><Relationship Id="rId13" Type="http://schemas.openxmlformats.org/officeDocument/2006/relationships/image" Target="media/3a23dd04c40476c295dda6992a9b482959088d3e.png"/><Relationship Id="rId14" Type="http://schemas.openxmlformats.org/officeDocument/2006/relationships/image" Target="media/c1f235458cfff03dc453a376b96fe5ad5c06b10d.png"/><Relationship Id="rId15" Type="http://schemas.openxmlformats.org/officeDocument/2006/relationships/image" Target="media/400e0cd2c5f24ce0402ebc91cfc3b5ee03fc4e98.png"/><Relationship Id="rId16" Type="http://schemas.openxmlformats.org/officeDocument/2006/relationships/image" Target="media/a2f4d83bdbf46e320b071964f341f966603e11e7.png"/><Relationship Id="rId17" Type="http://schemas.openxmlformats.org/officeDocument/2006/relationships/image" Target="media/5bd0f28fd54a49b634f688c79d3b60ae05f4de50.png"/><Relationship Id="rId18" Type="http://schemas.openxmlformats.org/officeDocument/2006/relationships/image" Target="media/929bcb4a3d7488873536be9bef11a1b186804591.png"/><Relationship Id="rId19" Type="http://schemas.openxmlformats.org/officeDocument/2006/relationships/image" Target="media/fb567c0385ea82bcb67bf63be5b0911100f00aea.png"/><Relationship Id="rId20" Type="http://schemas.openxmlformats.org/officeDocument/2006/relationships/image" Target="media/e530eda40502684939686b92e09021349e8bb20e.png"/><Relationship Id="rId21" Type="http://schemas.openxmlformats.org/officeDocument/2006/relationships/image" Target="media/cb2d2fbe8ae182a14aafe7b23c65195b9fb378c3.png"/><Relationship Id="rId22" Type="http://schemas.openxmlformats.org/officeDocument/2006/relationships/image" Target="media/fb7eda099292f01c96040bb6cc709c1a1c27e157.png"/><Relationship Id="rId23" Type="http://schemas.openxmlformats.org/officeDocument/2006/relationships/image" Target="media/5bc15fcb6656b77dd676b13350770169fada1797.png"/><Relationship Id="rId24" Type="http://schemas.openxmlformats.org/officeDocument/2006/relationships/image" Target="media/219f406a82ddce0c1992147bde7d0c00121e8d5e.png"/><Relationship Id="rId25" Type="http://schemas.openxmlformats.org/officeDocument/2006/relationships/image" Target="media/26059c0e2947beb996f6c74426092384b381acec.png"/><Relationship Id="rId26" Type="http://schemas.openxmlformats.org/officeDocument/2006/relationships/image" Target="media/fa717b1282eab1324f4207031cd1d1ad938c6143.png"/><Relationship Id="rId29" Type="http://schemas.openxmlformats.org/officeDocument/2006/relationships/fontTable" Target="fontTable.xml"/></Relationships>
</file>

<file path=word/_rels/endnotes.xml.rels><?xml version="1.0" encoding="UTF-8"?><Relationships xmlns="http://schemas.openxmlformats.org/package/2006/relationships"/>
</file>

<file path=word/_rels/fontTable.xml.rels><?xml version="1.0" encoding="UTF-8"?><Relationships xmlns="http://schemas.openxmlformats.org/package/2006/relationships"/>
</file>

<file path=word/_rels/footer1.xml.rels><?xml version="1.0" encoding="UTF-8"?><Relationships xmlns="http://schemas.openxmlformats.org/package/2006/relationships"/>
</file>

<file path=word/_rels/footnotes.xml.rels><?xml version="1.0" encoding="UTF-8"?><Relationships xmlns="http://schemas.openxmlformats.org/package/2006/relationships"><Relationship Id="rIddidcps8dt1uvjwkkv2t5l" Type="http://schemas.openxmlformats.org/officeDocument/2006/relationships/hyperlink" Target="mailto:business@senux.xyz" TargetMode="External"/></Relationships>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Ibrasal Invest — Product Documentation</dc:title>
  <dc:creator>SENUX Media</dc:creator>
  <cp:lastModifiedBy>Un-named</cp:lastModifiedBy>
  <cp:revision>1</cp:revision>
  <dcterms:created xsi:type="dcterms:W3CDTF">2026-06-11T08:25:46.824Z</dcterms:created>
  <dcterms:modified xsi:type="dcterms:W3CDTF">2026-06-11T08:25:46.825Z</dcterms:modified>
</cp:coreProperties>
</file>

<file path=docProps/custom.xml><?xml version="1.0" encoding="utf-8"?>
<Properties xmlns="http://schemas.openxmlformats.org/officeDocument/2006/custom-properties" xmlns:vt="http://schemas.openxmlformats.org/officeDocument/2006/docPropsVTypes"/>
</file>